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145FB217" w:rsidR="00E370AF" w:rsidRDefault="00E370AF"/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510EEFBF" w:rsidR="00E370AF" w:rsidRDefault="0088240F">
            <w:r>
              <w:t>Eye Disease Detection Using Deep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BF63598" w14:textId="0C484B12" w:rsidR="0088240F" w:rsidRPr="0088240F" w:rsidRDefault="0088240F" w:rsidP="0088240F">
      <w:pPr>
        <w:rPr>
          <w:rFonts w:ascii="Arial" w:eastAsia="Arial" w:hAnsi="Arial" w:cs="Arial"/>
          <w:color w:val="000000"/>
          <w:sz w:val="24"/>
          <w:szCs w:val="24"/>
        </w:rPr>
      </w:pPr>
      <w:r w:rsidRPr="0088240F">
        <w:rPr>
          <w:rFonts w:ascii="Arial" w:eastAsia="Arial" w:hAnsi="Arial" w:cs="Arial"/>
          <w:color w:val="000000"/>
          <w:sz w:val="24"/>
          <w:szCs w:val="24"/>
        </w:rPr>
        <w:t>Solution architecture is a critical process that defines the structure, behavio</w:t>
      </w:r>
      <w:r>
        <w:rPr>
          <w:rFonts w:ascii="Arial" w:eastAsia="Arial" w:hAnsi="Arial" w:cs="Arial"/>
          <w:color w:val="000000"/>
          <w:sz w:val="24"/>
          <w:szCs w:val="24"/>
        </w:rPr>
        <w:t>u</w:t>
      </w:r>
      <w:r w:rsidRPr="0088240F">
        <w:rPr>
          <w:rFonts w:ascii="Arial" w:eastAsia="Arial" w:hAnsi="Arial" w:cs="Arial"/>
          <w:color w:val="000000"/>
          <w:sz w:val="24"/>
          <w:szCs w:val="24"/>
        </w:rPr>
        <w:t>r, and characteristics of the proposed AI-based eye disease prediction system. It ensures a seamless bridge between business needs and technical implementation.</w:t>
      </w:r>
    </w:p>
    <w:p w14:paraId="3F72D8E1" w14:textId="77777777" w:rsidR="0088240F" w:rsidRPr="0088240F" w:rsidRDefault="0088240F" w:rsidP="0088240F">
      <w:pPr>
        <w:rPr>
          <w:rFonts w:ascii="Arial" w:eastAsia="Arial" w:hAnsi="Arial" w:cs="Arial"/>
          <w:color w:val="000000"/>
          <w:sz w:val="24"/>
          <w:szCs w:val="24"/>
        </w:rPr>
      </w:pPr>
      <w:r w:rsidRPr="0088240F">
        <w:rPr>
          <w:rFonts w:ascii="Arial" w:eastAsia="Arial" w:hAnsi="Arial" w:cs="Arial"/>
          <w:b/>
          <w:bCs/>
          <w:color w:val="000000"/>
          <w:sz w:val="24"/>
          <w:szCs w:val="24"/>
        </w:rPr>
        <w:t>Objectives of the Solution Architecture:</w:t>
      </w:r>
    </w:p>
    <w:p w14:paraId="33F70B01" w14:textId="77777777" w:rsidR="0088240F" w:rsidRPr="0088240F" w:rsidRDefault="0088240F" w:rsidP="0088240F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88240F">
        <w:rPr>
          <w:rFonts w:ascii="Arial" w:eastAsia="Arial" w:hAnsi="Arial" w:cs="Arial"/>
          <w:color w:val="000000"/>
          <w:sz w:val="24"/>
          <w:szCs w:val="24"/>
        </w:rPr>
        <w:t>Identify the best technology stack to provide accurate and efficient disease prediction.</w:t>
      </w:r>
    </w:p>
    <w:p w14:paraId="276DE1FB" w14:textId="77777777" w:rsidR="0088240F" w:rsidRPr="0088240F" w:rsidRDefault="0088240F" w:rsidP="0088240F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88240F">
        <w:rPr>
          <w:rFonts w:ascii="Arial" w:eastAsia="Arial" w:hAnsi="Arial" w:cs="Arial"/>
          <w:color w:val="000000"/>
          <w:sz w:val="24"/>
          <w:szCs w:val="24"/>
        </w:rPr>
        <w:t>Define system components, workflows, and data processing steps.</w:t>
      </w:r>
    </w:p>
    <w:p w14:paraId="3D833200" w14:textId="77777777" w:rsidR="0088240F" w:rsidRPr="0088240F" w:rsidRDefault="0088240F" w:rsidP="0088240F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88240F">
        <w:rPr>
          <w:rFonts w:ascii="Arial" w:eastAsia="Arial" w:hAnsi="Arial" w:cs="Arial"/>
          <w:color w:val="000000"/>
          <w:sz w:val="24"/>
          <w:szCs w:val="24"/>
        </w:rPr>
        <w:t>Ensure scalability, security, and interoperability with existing healthcare systems.</w:t>
      </w:r>
    </w:p>
    <w:p w14:paraId="792FA76A" w14:textId="7888E8FE" w:rsidR="00E370AF" w:rsidRPr="0088240F" w:rsidRDefault="0088240F" w:rsidP="0088240F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88240F">
        <w:rPr>
          <w:rFonts w:ascii="Arial" w:eastAsia="Arial" w:hAnsi="Arial" w:cs="Arial"/>
          <w:color w:val="000000"/>
          <w:sz w:val="24"/>
          <w:szCs w:val="24"/>
        </w:rPr>
        <w:t>Provide a structured approach for implementation and deployment.</w:t>
      </w: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79D8C738" w14:textId="1D87C60B" w:rsidR="00E370AF" w:rsidRDefault="0088240F">
      <w:pPr>
        <w:tabs>
          <w:tab w:val="left" w:pos="5529"/>
        </w:tabs>
        <w:rPr>
          <w:b/>
        </w:rPr>
      </w:pPr>
      <w:r>
        <w:rPr>
          <w:b/>
          <w:noProof/>
        </w:rPr>
        <w:drawing>
          <wp:inline distT="0" distB="0" distL="0" distR="0" wp14:anchorId="259CE989" wp14:editId="0ED8EE4F">
            <wp:extent cx="5730240" cy="4191000"/>
            <wp:effectExtent l="0" t="0" r="3810" b="0"/>
            <wp:docPr id="33473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5AF6D563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</w:t>
      </w:r>
      <w:r w:rsidR="0088240F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tion</w: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F32D00B-F394-47BE-AC87-610B67E2D3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7186FE4-3E06-42D7-BC2E-2D9E9EF666AD}"/>
    <w:embedBold r:id="rId3" w:fontKey="{26BDC872-E842-4DF5-8C7D-AB7688184FB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6001271-DA36-41BB-BE5C-B4E130721688}"/>
    <w:embedItalic r:id="rId5" w:fontKey="{73E64BD1-BAE2-4936-A92E-85C74C3768B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CED0E2CA-A490-4537-8306-0B160E686F63}"/>
    <w:embedItalic r:id="rId7" w:fontKey="{DFC5E7FB-5DA8-47A9-B569-9678F8CA1AD1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FE839543-DB1B-48F5-950F-6B171C8523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2CC550D"/>
    <w:multiLevelType w:val="multilevel"/>
    <w:tmpl w:val="26304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0"/>
  </w:num>
  <w:num w:numId="2" w16cid:durableId="980354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F0874"/>
    <w:rsid w:val="00267921"/>
    <w:rsid w:val="00862077"/>
    <w:rsid w:val="0088240F"/>
    <w:rsid w:val="00B70BE6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suhail .</cp:lastModifiedBy>
  <cp:revision>2</cp:revision>
  <dcterms:created xsi:type="dcterms:W3CDTF">2025-03-13T04:31:00Z</dcterms:created>
  <dcterms:modified xsi:type="dcterms:W3CDTF">2025-03-13T04:31:00Z</dcterms:modified>
</cp:coreProperties>
</file>