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Unicode and structure</w:t>
      </w:r>
    </w:p>
    <w:p>
      <w:pPr>
        <w:pStyle w:val="Heading1"/>
      </w:pPr>
      <w:r>
        <w:t>Chapter one</w:t>
      </w:r>
    </w:p>
    <w:p>
      <w:r>
        <w:t>Ligatures ﬁ ﬂ; nonbreaking space; café résumé.</w:t>
      </w:r>
    </w:p>
    <w:p>
      <w:r>
        <w:t>Curly “quotes” and apostrophe ’; en–dash em—dash; £ € ¥; ± × ÷ ≤ ≥ ≠ ∑.</w:t>
      </w:r>
    </w:p>
    <w:p>
      <w:r>
        <w:t>العربية हिन्दी 中文 日本語 한국어</w:t>
      </w:r>
    </w:p>
    <w:p>
      <w:pPr>
        <w:pStyle w:val="ListBullet"/>
      </w:pPr>
      <w:r>
        <w:t>First bullet</w:t>
      </w:r>
    </w:p>
    <w:p>
      <w:pPr>
        <w:pStyle w:val="ListNumber"/>
      </w:pPr>
      <w:r>
        <w:t>First numbered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12.50</w:t>
            </w:r>
          </w:p>
        </w:tc>
      </w:tr>
      <w:tr>
        <w:tc>
          <w:tcPr>
            <w:tcW w:type="dxa" w:w="5760"/>
            <w:gridSpan w:val="2"/>
          </w:tcPr>
          <w:p>
            <w:r>
              <w:t>Merged label</w:t>
            </w:r>
          </w:p>
        </w:tc>
        <w:tc>
          <w:tcPr>
            <w:tcW w:type="dxa" w:w="288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Embedded invoice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