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b/>
          <w:bCs/>
          <w:color w:val="231F29"/>
          <w:sz w:val="52"/>
          <w:szCs w:val="52"/>
        </w:rPr>
        <w:t xml:space="preserve">SUPPLY CHAIN</w:t>
      </w:r>
    </w:p>
    <w:p>
      <w:pPr>
        <w:spacing w:after="200"/>
        <w:jc w:val="center"/>
      </w:pPr>
      <w:r>
        <w:rPr>
          <w:b/>
          <w:bCs/>
          <w:color w:val="231F29"/>
          <w:sz w:val="52"/>
          <w:szCs w:val="52"/>
        </w:rPr>
        <w:t xml:space="preserve">DIAGNOSTIC REPORT</w:t>
      </w:r>
    </w:p>
    <w:p>
      <w:pPr>
        <w:spacing w:after="500"/>
        <w:jc w:val="center"/>
      </w:pPr>
      <w:r>
        <w:rPr>
          <w:b/>
          <w:bCs/>
          <w:color w:val="6B5B95"/>
          <w:sz w:val="24"/>
          <w:szCs w:val="24"/>
        </w:rPr>
        <w:t xml:space="preserve">Product Portfolio Analysis — Skincare, Haircare &amp; Cosmetics</w:t>
      </w:r>
    </w:p>
    <w:p>
      <w:pPr>
        <w:spacing w:after="40" w:before="900"/>
        <w:jc w:val="center"/>
      </w:pPr>
      <w:r>
        <w:rPr>
          <w:color w:val="6B6572"/>
          <w:sz w:val="19"/>
          <w:szCs w:val="19"/>
        </w:rPr>
        <w:t xml:space="preserve">Prepared for: Supply Chain &amp; Operations Review</w:t>
      </w:r>
    </w:p>
    <w:p>
      <w:pPr>
        <w:spacing w:after="40"/>
        <w:jc w:val="center"/>
      </w:pPr>
      <w:r>
        <w:rPr>
          <w:color w:val="6B6572"/>
          <w:sz w:val="19"/>
          <w:szCs w:val="19"/>
        </w:rPr>
        <w:t xml:space="preserve">Report type: Diagnostic Analysis &amp; Recommendations</w:t>
      </w:r>
    </w:p>
    <w:p>
      <w:pPr>
        <w:spacing w:after="40"/>
        <w:jc w:val="center"/>
      </w:pPr>
      <w:r>
        <w:rPr>
          <w:color w:val="6B6572"/>
          <w:sz w:val="19"/>
          <w:szCs w:val="19"/>
        </w:rPr>
        <w:t xml:space="preserve">Dataset: 100-SKU Supply Chain Extract (Skincare, Haircare, Cosmetics)</w:t>
      </w:r>
    </w:p>
    <w:p>
      <w:pPr>
        <w:spacing w:after="900"/>
        <w:jc w:val="center"/>
      </w:pPr>
      <w:r>
        <w:rPr>
          <w:i/>
          <w:iCs/>
          <w:color w:val="6B6572"/>
          <w:sz w:val="19"/>
          <w:szCs w:val="19"/>
        </w:rPr>
        <w:t xml:space="preserve">Prepared using Power BI–style diagnostic methodology</w:t>
      </w:r>
    </w:p>
    <w:p>
      <w:r>
        <w:br w:type="page"/>
      </w:r>
    </w:p>
    <w:p>
      <w:pPr>
        <w:pStyle w:val="Heading1"/>
        <w:spacing w:after="160" w:before="360"/>
      </w:pPr>
      <w:r>
        <w:rPr>
          <w:b/>
          <w:bCs/>
          <w:color w:val="231F29"/>
          <w:sz w:val="30"/>
          <w:szCs w:val="30"/>
        </w:rPr>
        <w:t xml:space="preserve">Table of Contents</w:t>
      </w:r>
    </w:p>
    <w:p>
      <w:pPr>
        <w:tabs>
          <w:tab w:val="right" w:pos="9360"/>
        </w:tabs>
        <w:spacing w:after="140"/>
      </w:pPr>
      <w:r>
        <w:rPr>
          <w:b/>
          <w:bCs/>
          <w:color w:val="6B5B95"/>
          <w:sz w:val="22"/>
          <w:szCs w:val="22"/>
        </w:rPr>
        <w:t xml:space="preserve">1  </w:t>
      </w:r>
      <w:r>
        <w:rPr>
          <w:color w:val="231F29"/>
          <w:sz w:val="22"/>
          <w:szCs w:val="22"/>
        </w:rPr>
        <w:t xml:space="preserve">Executive Summary</w:t>
      </w:r>
      <w:r>
        <w:rPr>
          <w:color w:val="6B6572"/>
          <w:sz w:val="22"/>
          <w:szCs w:val="22"/>
        </w:rPr>
        <w:t xml:space="preserve">	3</w:t>
      </w:r>
    </w:p>
    <w:p>
      <w:pPr>
        <w:tabs>
          <w:tab w:val="right" w:pos="9360"/>
        </w:tabs>
        <w:spacing w:after="140"/>
      </w:pPr>
      <w:r>
        <w:rPr>
          <w:b/>
          <w:bCs/>
          <w:color w:val="6B5B95"/>
          <w:sz w:val="22"/>
          <w:szCs w:val="22"/>
        </w:rPr>
        <w:t xml:space="preserve">2  </w:t>
      </w:r>
      <w:r>
        <w:rPr>
          <w:color w:val="231F29"/>
          <w:sz w:val="22"/>
          <w:szCs w:val="22"/>
        </w:rPr>
        <w:t xml:space="preserve">Scope, Objectives &amp; Methodology</w:t>
      </w:r>
      <w:r>
        <w:rPr>
          <w:color w:val="6B6572"/>
          <w:sz w:val="22"/>
          <w:szCs w:val="22"/>
        </w:rPr>
        <w:t xml:space="preserve">	3</w:t>
      </w:r>
    </w:p>
    <w:p>
      <w:pPr>
        <w:tabs>
          <w:tab w:val="right" w:pos="9360"/>
        </w:tabs>
        <w:spacing w:after="140"/>
      </w:pPr>
      <w:r>
        <w:rPr>
          <w:b/>
          <w:bCs/>
          <w:color w:val="6B5B95"/>
          <w:sz w:val="22"/>
          <w:szCs w:val="22"/>
        </w:rPr>
        <w:t xml:space="preserve">3  </w:t>
      </w:r>
      <w:r>
        <w:rPr>
          <w:color w:val="231F29"/>
          <w:sz w:val="22"/>
          <w:szCs w:val="22"/>
        </w:rPr>
        <w:t xml:space="preserve">Revenue &amp; Sales Performance</w:t>
      </w:r>
      <w:r>
        <w:rPr>
          <w:color w:val="6B6572"/>
          <w:sz w:val="22"/>
          <w:szCs w:val="22"/>
        </w:rPr>
        <w:t xml:space="preserve">	4</w:t>
      </w:r>
    </w:p>
    <w:p>
      <w:pPr>
        <w:tabs>
          <w:tab w:val="right" w:pos="9360"/>
        </w:tabs>
        <w:spacing w:after="140"/>
      </w:pPr>
      <w:r>
        <w:rPr>
          <w:b/>
          <w:bCs/>
          <w:color w:val="6B5B95"/>
          <w:sz w:val="22"/>
          <w:szCs w:val="22"/>
        </w:rPr>
        <w:t xml:space="preserve">4  </w:t>
      </w:r>
      <w:r>
        <w:rPr>
          <w:color w:val="231F29"/>
          <w:sz w:val="22"/>
          <w:szCs w:val="22"/>
        </w:rPr>
        <w:t xml:space="preserve">Cost Structure &amp; Unit Economics</w:t>
      </w:r>
      <w:r>
        <w:rPr>
          <w:color w:val="6B6572"/>
          <w:sz w:val="22"/>
          <w:szCs w:val="22"/>
        </w:rPr>
        <w:t xml:space="preserve">	5</w:t>
      </w:r>
    </w:p>
    <w:p>
      <w:pPr>
        <w:tabs>
          <w:tab w:val="right" w:pos="9360"/>
        </w:tabs>
        <w:spacing w:after="140"/>
      </w:pPr>
      <w:r>
        <w:rPr>
          <w:b/>
          <w:bCs/>
          <w:color w:val="6B5B95"/>
          <w:sz w:val="22"/>
          <w:szCs w:val="22"/>
        </w:rPr>
        <w:t xml:space="preserve">5  </w:t>
      </w:r>
      <w:r>
        <w:rPr>
          <w:color w:val="231F29"/>
          <w:sz w:val="22"/>
          <w:szCs w:val="22"/>
        </w:rPr>
        <w:t xml:space="preserve">Lead Time &amp; Quality Trade-offs</w:t>
      </w:r>
      <w:r>
        <w:rPr>
          <w:color w:val="6B6572"/>
          <w:sz w:val="22"/>
          <w:szCs w:val="22"/>
        </w:rPr>
        <w:t xml:space="preserve">	6</w:t>
      </w:r>
    </w:p>
    <w:p>
      <w:pPr>
        <w:tabs>
          <w:tab w:val="right" w:pos="9360"/>
        </w:tabs>
        <w:spacing w:after="140"/>
      </w:pPr>
      <w:r>
        <w:rPr>
          <w:b/>
          <w:bCs/>
          <w:color w:val="6B5B95"/>
          <w:sz w:val="22"/>
          <w:szCs w:val="22"/>
        </w:rPr>
        <w:t xml:space="preserve">6  </w:t>
      </w:r>
      <w:r>
        <w:rPr>
          <w:color w:val="231F29"/>
          <w:sz w:val="22"/>
          <w:szCs w:val="22"/>
        </w:rPr>
        <w:t xml:space="preserve">Supplier Quality Analysis</w:t>
      </w:r>
      <w:r>
        <w:rPr>
          <w:color w:val="6B6572"/>
          <w:sz w:val="22"/>
          <w:szCs w:val="22"/>
        </w:rPr>
        <w:t xml:space="preserve">	6</w:t>
      </w:r>
    </w:p>
    <w:p>
      <w:pPr>
        <w:tabs>
          <w:tab w:val="right" w:pos="9360"/>
        </w:tabs>
        <w:spacing w:after="140"/>
      </w:pPr>
      <w:r>
        <w:rPr>
          <w:b/>
          <w:bCs/>
          <w:color w:val="6B5B95"/>
          <w:sz w:val="22"/>
          <w:szCs w:val="22"/>
        </w:rPr>
        <w:t xml:space="preserve">7  </w:t>
      </w:r>
      <w:r>
        <w:rPr>
          <w:color w:val="231F29"/>
          <w:sz w:val="22"/>
          <w:szCs w:val="22"/>
        </w:rPr>
        <w:t xml:space="preserve">Quality Inspection Analysis</w:t>
      </w:r>
      <w:r>
        <w:rPr>
          <w:color w:val="6B6572"/>
          <w:sz w:val="22"/>
          <w:szCs w:val="22"/>
        </w:rPr>
        <w:t xml:space="preserve">	7</w:t>
      </w:r>
    </w:p>
    <w:p>
      <w:pPr>
        <w:tabs>
          <w:tab w:val="right" w:pos="9360"/>
        </w:tabs>
        <w:spacing w:after="140"/>
      </w:pPr>
      <w:r>
        <w:rPr>
          <w:b/>
          <w:bCs/>
          <w:color w:val="6B5B95"/>
          <w:sz w:val="22"/>
          <w:szCs w:val="22"/>
        </w:rPr>
        <w:t xml:space="preserve">8  </w:t>
      </w:r>
      <w:r>
        <w:rPr>
          <w:color w:val="231F29"/>
          <w:sz w:val="22"/>
          <w:szCs w:val="22"/>
        </w:rPr>
        <w:t xml:space="preserve">Logistics: Carriers &amp; Transportation</w:t>
      </w:r>
      <w:r>
        <w:rPr>
          <w:color w:val="6B6572"/>
          <w:sz w:val="22"/>
          <w:szCs w:val="22"/>
        </w:rPr>
        <w:t xml:space="preserve">	8</w:t>
      </w:r>
    </w:p>
    <w:p>
      <w:pPr>
        <w:tabs>
          <w:tab w:val="right" w:pos="9360"/>
        </w:tabs>
        <w:spacing w:after="140"/>
      </w:pPr>
      <w:r>
        <w:rPr>
          <w:b/>
          <w:bCs/>
          <w:color w:val="6B5B95"/>
          <w:sz w:val="22"/>
          <w:szCs w:val="22"/>
        </w:rPr>
        <w:t xml:space="preserve">9  </w:t>
      </w:r>
      <w:r>
        <w:rPr>
          <w:color w:val="231F29"/>
          <w:sz w:val="22"/>
          <w:szCs w:val="22"/>
        </w:rPr>
        <w:t xml:space="preserve">Regional Performance</w:t>
      </w:r>
      <w:r>
        <w:rPr>
          <w:color w:val="6B6572"/>
          <w:sz w:val="22"/>
          <w:szCs w:val="22"/>
        </w:rPr>
        <w:t xml:space="preserve">	9</w:t>
      </w:r>
    </w:p>
    <w:p>
      <w:pPr>
        <w:tabs>
          <w:tab w:val="right" w:pos="9360"/>
        </w:tabs>
        <w:spacing w:after="140"/>
      </w:pPr>
      <w:r>
        <w:rPr>
          <w:b/>
          <w:bCs/>
          <w:color w:val="6B5B95"/>
          <w:sz w:val="22"/>
          <w:szCs w:val="22"/>
        </w:rPr>
        <w:t xml:space="preserve">10  </w:t>
      </w:r>
      <w:r>
        <w:rPr>
          <w:color w:val="231F29"/>
          <w:sz w:val="22"/>
          <w:szCs w:val="22"/>
        </w:rPr>
        <w:t xml:space="preserve">Risk Assessment &amp; Data Limitations</w:t>
      </w:r>
      <w:r>
        <w:rPr>
          <w:color w:val="6B6572"/>
          <w:sz w:val="22"/>
          <w:szCs w:val="22"/>
        </w:rPr>
        <w:t xml:space="preserve">	9</w:t>
      </w:r>
    </w:p>
    <w:p>
      <w:pPr>
        <w:tabs>
          <w:tab w:val="right" w:pos="9360"/>
        </w:tabs>
        <w:spacing w:after="140"/>
      </w:pPr>
      <w:r>
        <w:rPr>
          <w:b/>
          <w:bCs/>
          <w:color w:val="6B5B95"/>
          <w:sz w:val="22"/>
          <w:szCs w:val="22"/>
        </w:rPr>
        <w:t xml:space="preserve">11  </w:t>
      </w:r>
      <w:r>
        <w:rPr>
          <w:color w:val="231F29"/>
          <w:sz w:val="22"/>
          <w:szCs w:val="22"/>
        </w:rPr>
        <w:t xml:space="preserve">Recommendations &amp; Implementation Roadmap</w:t>
      </w:r>
      <w:r>
        <w:rPr>
          <w:color w:val="6B6572"/>
          <w:sz w:val="22"/>
          <w:szCs w:val="22"/>
        </w:rPr>
        <w:t xml:space="preserve">	10</w:t>
      </w:r>
    </w:p>
    <w:p>
      <w:pPr>
        <w:tabs>
          <w:tab w:val="right" w:pos="9360"/>
        </w:tabs>
        <w:spacing w:after="140"/>
      </w:pPr>
      <w:r>
        <w:rPr>
          <w:b/>
          <w:bCs/>
          <w:color w:val="6B5B95"/>
          <w:sz w:val="22"/>
          <w:szCs w:val="22"/>
        </w:rPr>
        <w:t xml:space="preserve">A  </w:t>
      </w:r>
      <w:r>
        <w:rPr>
          <w:color w:val="231F29"/>
          <w:sz w:val="22"/>
          <w:szCs w:val="22"/>
        </w:rPr>
        <w:t xml:space="preserve">Appendix: Data Dictionary &amp; Definitions</w:t>
      </w:r>
      <w:r>
        <w:rPr>
          <w:color w:val="6B6572"/>
          <w:sz w:val="22"/>
          <w:szCs w:val="22"/>
        </w:rPr>
        <w:t xml:space="preserve">	11</w:t>
      </w:r>
    </w:p>
    <w:p>
      <w:r>
        <w:br w:type="page"/>
      </w:r>
    </w:p>
    <w:p>
      <w:pPr>
        <w:pStyle w:val="Heading1"/>
        <w:spacing w:after="160" w:before="360"/>
      </w:pPr>
      <w:r>
        <w:rPr>
          <w:b/>
          <w:bCs/>
          <w:color w:val="231F29"/>
          <w:sz w:val="30"/>
          <w:szCs w:val="30"/>
        </w:rPr>
        <w:t xml:space="preserve">1. Executive Summary</w:t>
      </w:r>
    </w:p>
    <w:p>
      <w:pPr>
        <w:spacing w:after="160" w:line="300"/>
      </w:pPr>
      <w:r>
        <w:rPr>
          <w:color w:val="231F29"/>
          <w:sz w:val="22"/>
          <w:szCs w:val="22"/>
        </w:rPr>
        <w:t xml:space="preserve">This report presents a diagnostic analysis of a 100-SKU product portfolio spanning three categories — skincare, haircare, and cosmetics — covering revenue performance, unit economics, supplier quality, logistics, and regional distribution. The objective is to identify the operational bottlenecks with the greatest impact on cost, quality, and revenue, and to translate those findings into a prioritized set of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E3E0E6" w:sz="2"/>
              <w:left w:val="single" w:color="E3E0E6" w:sz="2"/>
              <w:bottom w:val="single" w:color="E3E0E6" w:sz="2"/>
              <w:right w:val="single" w:color="E3E0E6" w:sz="2"/>
            </w:tcBorders>
            <w:shd w:fill="F4F2F6" w:val="clear"/>
            <w:tcMar>
              <w:top w:type="dxa" w:w="160"/>
              <w:left w:type="dxa" w:w="100"/>
              <w:bottom w:type="dxa" w:w="160"/>
              <w:right w:type="dxa" w:w="100"/>
            </w:tcMar>
          </w:tcPr>
          <w:p>
            <w:pPr>
              <w:spacing w:after="40"/>
              <w:jc w:val="center"/>
            </w:pPr>
            <w:r>
              <w:rPr>
                <w:b/>
                <w:bCs/>
                <w:color w:val="6B5B95"/>
                <w:sz w:val="26"/>
                <w:szCs w:val="26"/>
              </w:rPr>
              <w:t xml:space="preserve">$577,605</w:t>
            </w:r>
          </w:p>
          <w:p>
            <w:pPr>
              <w:jc w:val="center"/>
            </w:pPr>
            <w:r>
              <w:rPr>
                <w:color w:val="6B6572"/>
                <w:sz w:val="15"/>
                <w:szCs w:val="15"/>
              </w:rPr>
              <w:t xml:space="preserve">Total Revenue</w:t>
            </w:r>
          </w:p>
        </w:tc>
        <w:tc>
          <w:tcPr>
            <w:tcW w:type="pct" w:w="20%"/>
            <w:tcBorders>
              <w:top w:val="single" w:color="E3E0E6" w:sz="2"/>
              <w:left w:val="single" w:color="E3E0E6" w:sz="2"/>
              <w:bottom w:val="single" w:color="E3E0E6" w:sz="2"/>
              <w:right w:val="single" w:color="E3E0E6" w:sz="2"/>
            </w:tcBorders>
            <w:shd w:fill="F4F2F6" w:val="clear"/>
            <w:tcMar>
              <w:top w:type="dxa" w:w="160"/>
              <w:left w:type="dxa" w:w="100"/>
              <w:bottom w:type="dxa" w:w="160"/>
              <w:right w:type="dxa" w:w="100"/>
            </w:tcMar>
          </w:tcPr>
          <w:p>
            <w:pPr>
              <w:spacing w:after="40"/>
              <w:jc w:val="center"/>
            </w:pPr>
            <w:r>
              <w:rPr>
                <w:b/>
                <w:bCs/>
                <w:color w:val="B85C7C"/>
                <w:sz w:val="26"/>
                <w:szCs w:val="26"/>
              </w:rPr>
              <w:t xml:space="preserve">$519,399</w:t>
            </w:r>
          </w:p>
          <w:p>
            <w:pPr>
              <w:jc w:val="center"/>
            </w:pPr>
            <w:r>
              <w:rPr>
                <w:color w:val="6B6572"/>
                <w:sz w:val="15"/>
                <w:szCs w:val="15"/>
              </w:rPr>
              <w:t xml:space="preserve">Total Profit*</w:t>
            </w:r>
          </w:p>
        </w:tc>
        <w:tc>
          <w:tcPr>
            <w:tcW w:type="pct" w:w="20%"/>
            <w:tcBorders>
              <w:top w:val="single" w:color="E3E0E6" w:sz="2"/>
              <w:left w:val="single" w:color="E3E0E6" w:sz="2"/>
              <w:bottom w:val="single" w:color="E3E0E6" w:sz="2"/>
              <w:right w:val="single" w:color="E3E0E6" w:sz="2"/>
            </w:tcBorders>
            <w:shd w:fill="F4F2F6" w:val="clear"/>
            <w:tcMar>
              <w:top w:type="dxa" w:w="160"/>
              <w:left w:type="dxa" w:w="100"/>
              <w:bottom w:type="dxa" w:w="160"/>
              <w:right w:type="dxa" w:w="100"/>
            </w:tcMar>
          </w:tcPr>
          <w:p>
            <w:pPr>
              <w:spacing w:after="40"/>
              <w:jc w:val="center"/>
            </w:pPr>
            <w:r>
              <w:rPr>
                <w:b/>
                <w:bCs/>
                <w:color w:val="B8860B"/>
                <w:sz w:val="26"/>
                <w:szCs w:val="26"/>
              </w:rPr>
              <w:t xml:space="preserve">2.28%</w:t>
            </w:r>
          </w:p>
          <w:p>
            <w:pPr>
              <w:jc w:val="center"/>
            </w:pPr>
            <w:r>
              <w:rPr>
                <w:color w:val="6B6572"/>
                <w:sz w:val="15"/>
                <w:szCs w:val="15"/>
              </w:rPr>
              <w:t xml:space="preserve">Avg. Defect Rate</w:t>
            </w:r>
          </w:p>
        </w:tc>
        <w:tc>
          <w:tcPr>
            <w:tcW w:type="pct" w:w="20%"/>
            <w:tcBorders>
              <w:top w:val="single" w:color="E3E0E6" w:sz="2"/>
              <w:left w:val="single" w:color="E3E0E6" w:sz="2"/>
              <w:bottom w:val="single" w:color="E3E0E6" w:sz="2"/>
              <w:right w:val="single" w:color="E3E0E6" w:sz="2"/>
            </w:tcBorders>
            <w:shd w:fill="F4F2F6" w:val="clear"/>
            <w:tcMar>
              <w:top w:type="dxa" w:w="160"/>
              <w:left w:type="dxa" w:w="100"/>
              <w:bottom w:type="dxa" w:w="160"/>
              <w:right w:type="dxa" w:w="100"/>
            </w:tcMar>
          </w:tcPr>
          <w:p>
            <w:pPr>
              <w:spacing w:after="40"/>
              <w:jc w:val="center"/>
            </w:pPr>
            <w:r>
              <w:rPr>
                <w:b/>
                <w:bCs/>
                <w:color w:val="6B5B95"/>
                <w:sz w:val="26"/>
                <w:szCs w:val="26"/>
              </w:rPr>
              <w:t xml:space="preserve">16 days</w:t>
            </w:r>
          </w:p>
          <w:p>
            <w:pPr>
              <w:jc w:val="center"/>
            </w:pPr>
            <w:r>
              <w:rPr>
                <w:color w:val="6B6572"/>
                <w:sz w:val="15"/>
                <w:szCs w:val="15"/>
              </w:rPr>
              <w:t xml:space="preserve">Avg. Lead Time</w:t>
            </w:r>
          </w:p>
        </w:tc>
      </w:tr>
    </w:tbl>
    <w:p>
      <w:pPr>
        <w:spacing w:after="120"/>
      </w:pPr>
      <w:r>
        <w:rPr>
          <w:i/>
          <w:iCs/>
          <w:color w:val="6B6572"/>
          <w:sz w:val="16"/>
          <w:szCs w:val="16"/>
        </w:rPr>
        <w:t xml:space="preserve">*Profit = Revenue − Manufacturing costs − Shipping costs − Total costs, at portfolio level. See Section 4 for a unit-economics caveat that affects this figure.</w:t>
      </w:r>
    </w:p>
    <w:p>
      <w:pPr>
        <w:spacing w:after="300"/>
      </w:pPr>
    </w:p>
    <w:p>
      <w:pPr>
        <w:pStyle w:val="Heading2"/>
        <w:spacing w:after="120" w:before="260"/>
      </w:pPr>
      <w:r>
        <w:rPr>
          <w:b/>
          <w:bCs/>
          <w:color w:val="6B5B95"/>
          <w:sz w:val="24"/>
          <w:szCs w:val="24"/>
        </w:rPr>
        <w:t xml:space="preserve">Key Findings</w:t>
      </w:r>
    </w:p>
    <w:p>
      <w:pPr>
        <w:pStyle w:val="ListParagraph"/>
        <w:numPr>
          <w:ilvl w:val="0"/>
          <w:numId w:val="2"/>
        </w:numPr>
        <w:spacing w:after="100" w:line="280"/>
      </w:pPr>
      <w:r>
        <w:rPr>
          <w:color w:val="231F29"/>
          <w:sz w:val="22"/>
          <w:szCs w:val="22"/>
        </w:rPr>
        <w:t xml:space="preserve">Skincare accounts for 41.8% of total revenue ($241,628), ahead of haircare (30.2%) and cosmetics (28%) — a concentration worth monitoring as a single-category risk.</w:t>
      </w:r>
    </w:p>
    <w:p>
      <w:pPr>
        <w:pStyle w:val="ListParagraph"/>
        <w:numPr>
          <w:ilvl w:val="0"/>
          <w:numId w:val="2"/>
        </w:numPr>
        <w:spacing w:after="100" w:line="280"/>
      </w:pPr>
      <w:r>
        <w:rPr>
          <w:color w:val="231F29"/>
          <w:sz w:val="22"/>
          <w:szCs w:val="22"/>
        </w:rPr>
        <w:t xml:space="preserve">44 of 100 SKUs (44%) are priced below their own recorded manufacturing cost, including one item priced at $4 against a $99 manufacturing cost. This is the single most consequential finding in this analysis (Section 4).</w:t>
      </w:r>
    </w:p>
    <w:p>
      <w:pPr>
        <w:pStyle w:val="ListParagraph"/>
        <w:numPr>
          <w:ilvl w:val="0"/>
          <w:numId w:val="2"/>
        </w:numPr>
        <w:spacing w:after="100" w:line="280"/>
      </w:pPr>
      <w:r>
        <w:rPr>
          <w:color w:val="231F29"/>
          <w:sz w:val="22"/>
          <w:szCs w:val="22"/>
        </w:rPr>
        <w:t xml:space="preserve">Supplier 5 has the highest average defect rate at 2.67%, nearly 50% higher than the best-performing supplier.</w:t>
      </w:r>
    </w:p>
    <w:p>
      <w:pPr>
        <w:pStyle w:val="ListParagraph"/>
        <w:numPr>
          <w:ilvl w:val="0"/>
          <w:numId w:val="2"/>
        </w:numPr>
        <w:spacing w:after="100" w:line="280"/>
      </w:pPr>
      <w:r>
        <w:rPr>
          <w:color w:val="231F29"/>
          <w:sz w:val="22"/>
          <w:szCs w:val="22"/>
        </w:rPr>
        <w:t xml:space="preserve">36% of inspected units failed quality inspection outright, with failed units averaging a 2.57% defect rate — the highest of any inspection outcome (Section 7).</w:t>
      </w:r>
    </w:p>
    <w:p>
      <w:pPr>
        <w:pStyle w:val="ListParagraph"/>
        <w:numPr>
          <w:ilvl w:val="0"/>
          <w:numId w:val="2"/>
        </w:numPr>
        <w:spacing w:after="100" w:line="280"/>
      </w:pPr>
      <w:r>
        <w:rPr>
          <w:color w:val="231F29"/>
          <w:sz w:val="22"/>
          <w:szCs w:val="22"/>
        </w:rPr>
        <w:t xml:space="preserve">Road transport shows the highest defect rate of any transportation mode (2.62%), while Air is both the cleanest (1.82%) and the most expensive.</w:t>
      </w:r>
    </w:p>
    <w:p>
      <w:r>
        <w:br w:type="page"/>
      </w:r>
    </w:p>
    <w:p>
      <w:pPr>
        <w:pStyle w:val="Heading1"/>
        <w:spacing w:after="160" w:before="360"/>
      </w:pPr>
      <w:r>
        <w:rPr>
          <w:b/>
          <w:bCs/>
          <w:color w:val="231F29"/>
          <w:sz w:val="30"/>
          <w:szCs w:val="30"/>
        </w:rPr>
        <w:t xml:space="preserve">2. Scope, Objectives &amp; Methodology</w:t>
      </w:r>
    </w:p>
    <w:p>
      <w:pPr>
        <w:pStyle w:val="Heading2"/>
        <w:spacing w:after="120" w:before="260"/>
      </w:pPr>
      <w:r>
        <w:rPr>
          <w:b/>
          <w:bCs/>
          <w:color w:val="6B5B95"/>
          <w:sz w:val="24"/>
          <w:szCs w:val="24"/>
        </w:rPr>
        <w:t xml:space="preserve">2.1 Scope</w:t>
      </w:r>
    </w:p>
    <w:p>
      <w:pPr>
        <w:spacing w:after="160" w:line="300"/>
      </w:pPr>
      <w:r>
        <w:rPr>
          <w:color w:val="231F29"/>
          <w:sz w:val="22"/>
          <w:szCs w:val="22"/>
        </w:rPr>
        <w:t xml:space="preserve">This analysis covers the full 100-SKU dataset provided, spanning three product categories (skincare, haircare, cosmetics), five suppliers, five supplier locations, three shipping carriers, and four transportation modes. No rows were excluded, fabricated, or supplemented from outside sources.</w:t>
      </w:r>
    </w:p>
    <w:p>
      <w:pPr>
        <w:pStyle w:val="Heading2"/>
        <w:spacing w:after="120" w:before="260"/>
      </w:pPr>
      <w:r>
        <w:rPr>
          <w:b/>
          <w:bCs/>
          <w:color w:val="6B5B95"/>
          <w:sz w:val="24"/>
          <w:szCs w:val="24"/>
        </w:rPr>
        <w:t xml:space="preserve">2.2 Objectives</w:t>
      </w:r>
    </w:p>
    <w:p>
      <w:pPr>
        <w:pStyle w:val="ListParagraph"/>
        <w:numPr>
          <w:ilvl w:val="0"/>
          <w:numId w:val="2"/>
        </w:numPr>
        <w:spacing w:after="100" w:line="280"/>
      </w:pPr>
      <w:r>
        <w:rPr>
          <w:color w:val="231F29"/>
          <w:sz w:val="22"/>
          <w:szCs w:val="22"/>
        </w:rPr>
        <w:t xml:space="preserve">Identify the primary sources of cost, quality, and delivery risk across the product portfolio.</w:t>
      </w:r>
    </w:p>
    <w:p>
      <w:pPr>
        <w:pStyle w:val="ListParagraph"/>
        <w:numPr>
          <w:ilvl w:val="0"/>
          <w:numId w:val="2"/>
        </w:numPr>
        <w:spacing w:after="100" w:line="280"/>
      </w:pPr>
      <w:r>
        <w:rPr>
          <w:color w:val="231F29"/>
          <w:sz w:val="22"/>
          <w:szCs w:val="22"/>
        </w:rPr>
        <w:t xml:space="preserve">Compare performance across product categories, suppliers, carriers, and regions to surface actionable patterns.</w:t>
      </w:r>
    </w:p>
    <w:p>
      <w:pPr>
        <w:pStyle w:val="ListParagraph"/>
        <w:numPr>
          <w:ilvl w:val="0"/>
          <w:numId w:val="2"/>
        </w:numPr>
        <w:spacing w:after="100" w:line="280"/>
      </w:pPr>
      <w:r>
        <w:rPr>
          <w:color w:val="231F29"/>
          <w:sz w:val="22"/>
          <w:szCs w:val="22"/>
        </w:rPr>
        <w:t xml:space="preserve">Translate findings into a prioritized, implementable set of recommendations.</w:t>
      </w:r>
    </w:p>
    <w:p>
      <w:pPr>
        <w:pStyle w:val="Heading2"/>
        <w:spacing w:after="120" w:before="260"/>
      </w:pPr>
      <w:r>
        <w:rPr>
          <w:b/>
          <w:bCs/>
          <w:color w:val="6B5B95"/>
          <w:sz w:val="24"/>
          <w:szCs w:val="24"/>
        </w:rPr>
        <w:t xml:space="preserve">2.3 Methodology</w:t>
      </w:r>
    </w:p>
    <w:p>
      <w:pPr>
        <w:spacing w:after="160" w:line="300"/>
      </w:pPr>
      <w:r>
        <w:rPr>
          <w:color w:val="231F29"/>
          <w:sz w:val="22"/>
          <w:szCs w:val="22"/>
        </w:rPr>
        <w:t xml:space="preserve">Data was cleaned and validated in Power Query (data types corrected, checked for nulls and duplicate SKUs — none found). Derived metrics were calculated as follows: Profit = Revenue generated − Manufacturing costs − Shipping costs − Total costs; Profit margin = Profit ÷ Revenue generated; Stock-to-sales ratio = Stock levels ÷ Number of products sold. All figures in this report are computed directly from the provided dataset using these definitions.</w:t>
      </w:r>
    </w:p>
    <w:p>
      <w:r>
        <w:br w:type="page"/>
      </w:r>
    </w:p>
    <w:p>
      <w:pPr>
        <w:pStyle w:val="Heading1"/>
        <w:spacing w:after="160" w:before="360"/>
      </w:pPr>
      <w:r>
        <w:rPr>
          <w:b/>
          <w:bCs/>
          <w:color w:val="231F29"/>
          <w:sz w:val="30"/>
          <w:szCs w:val="30"/>
        </w:rPr>
        <w:t xml:space="preserve">3. Revenue &amp; Sales Performance</w:t>
      </w:r>
    </w:p>
    <w:p>
      <w:pPr>
        <w:spacing w:after="160" w:line="300"/>
      </w:pPr>
      <w:r>
        <w:rPr>
          <w:color w:val="231F29"/>
          <w:sz w:val="22"/>
          <w:szCs w:val="22"/>
        </w:rPr>
        <w:t xml:space="preserve">Revenue is concentrated in skincare, which generates more revenue than haircare and cosmetics combined would need to approach. This concentration means a supply disruption or quality incident in skincare would disproportionately affect total revenue relative to the other two categories.</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072384"/>
                    </a:xfrm>
                    <a:prstGeom prst="rect">
                      <a:avLst/>
                    </a:prstGeom>
                  </pic:spPr>
                </pic:pic>
              </a:graphicData>
            </a:graphic>
          </wp:inline>
        </w:drawing>
      </w:r>
    </w:p>
    <w:p>
      <w:pPr>
        <w:spacing w:after="300"/>
        <w:jc w:val="center"/>
      </w:pPr>
      <w:r>
        <w:rPr>
          <w:i/>
          <w:iCs/>
          <w:color w:val="6B6572"/>
          <w:sz w:val="18"/>
          <w:szCs w:val="18"/>
        </w:rPr>
        <w:t xml:space="preserve">Figure 1. Total revenue generated by product type.</w:t>
      </w:r>
    </w:p>
    <w:p>
      <w:pPr>
        <w:pStyle w:val="Heading2"/>
        <w:spacing w:after="120" w:before="260"/>
      </w:pPr>
      <w:r>
        <w:rPr>
          <w:b/>
          <w:bCs/>
          <w:color w:val="6B5B95"/>
          <w:sz w:val="24"/>
          <w:szCs w:val="24"/>
        </w:rPr>
        <w:t xml:space="preserve">3.1 Category Economics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700"/>
        <w:gridCol w:w="1460"/>
      </w:tblGrid>
      <w:tr>
        <w:trPr>
          <w:tblHeader/>
        </w:trPr>
        <w:tc>
          <w:tcPr>
            <w:tcW w:type="dxa" w:w="2200"/>
            <w:shd w:fill="2B2730" w:val="clear"/>
            <w:tcMar>
              <w:top w:type="dxa" w:w="90"/>
              <w:left w:type="dxa" w:w="110"/>
              <w:bottom w:type="dxa" w:w="90"/>
              <w:right w:type="dxa" w:w="110"/>
            </w:tcMar>
          </w:tcPr>
          <w:p>
            <w:r>
              <w:rPr>
                <w:b/>
                <w:bCs/>
                <w:color w:val="FFFFFF"/>
                <w:sz w:val="18"/>
                <w:szCs w:val="18"/>
              </w:rPr>
              <w:t xml:space="preserve">Product Type</w:t>
            </w:r>
          </w:p>
        </w:tc>
        <w:tc>
          <w:tcPr>
            <w:tcW w:type="dxa" w:w="2200"/>
            <w:shd w:fill="2B2730" w:val="clear"/>
            <w:tcMar>
              <w:top w:type="dxa" w:w="90"/>
              <w:left w:type="dxa" w:w="110"/>
              <w:bottom w:type="dxa" w:w="90"/>
              <w:right w:type="dxa" w:w="110"/>
            </w:tcMar>
          </w:tcPr>
          <w:p>
            <w:r>
              <w:rPr>
                <w:b/>
                <w:bCs/>
                <w:color w:val="FFFFFF"/>
                <w:sz w:val="18"/>
                <w:szCs w:val="18"/>
              </w:rPr>
              <w:t xml:space="preserve">Revenue</w:t>
            </w:r>
          </w:p>
        </w:tc>
        <w:tc>
          <w:tcPr>
            <w:tcW w:type="dxa" w:w="1800"/>
            <w:shd w:fill="2B2730" w:val="clear"/>
            <w:tcMar>
              <w:top w:type="dxa" w:w="90"/>
              <w:left w:type="dxa" w:w="110"/>
              <w:bottom w:type="dxa" w:w="90"/>
              <w:right w:type="dxa" w:w="110"/>
            </w:tcMar>
          </w:tcPr>
          <w:p>
            <w:r>
              <w:rPr>
                <w:b/>
                <w:bCs/>
                <w:color w:val="FFFFFF"/>
                <w:sz w:val="18"/>
                <w:szCs w:val="18"/>
              </w:rPr>
              <w:t xml:space="preserve">Revenue Share</w:t>
            </w:r>
          </w:p>
        </w:tc>
        <w:tc>
          <w:tcPr>
            <w:tcW w:type="dxa" w:w="1700"/>
            <w:shd w:fill="2B2730" w:val="clear"/>
            <w:tcMar>
              <w:top w:type="dxa" w:w="90"/>
              <w:left w:type="dxa" w:w="110"/>
              <w:bottom w:type="dxa" w:w="90"/>
              <w:right w:type="dxa" w:w="110"/>
            </w:tcMar>
          </w:tcPr>
          <w:p>
            <w:r>
              <w:rPr>
                <w:b/>
                <w:bCs/>
                <w:color w:val="FFFFFF"/>
                <w:sz w:val="18"/>
                <w:szCs w:val="18"/>
              </w:rPr>
              <w:t xml:space="preserve">Avg. Margin</w:t>
            </w:r>
          </w:p>
        </w:tc>
        <w:tc>
          <w:tcPr>
            <w:tcW w:type="dxa" w:w="1460"/>
            <w:shd w:fill="2B2730" w:val="clear"/>
            <w:tcMar>
              <w:top w:type="dxa" w:w="90"/>
              <w:left w:type="dxa" w:w="110"/>
              <w:bottom w:type="dxa" w:w="90"/>
              <w:right w:type="dxa" w:w="110"/>
            </w:tcMar>
          </w:tcPr>
          <w:p>
            <w:r>
              <w:rPr>
                <w:b/>
                <w:bCs/>
                <w:color w:val="FFFFFF"/>
                <w:sz w:val="18"/>
                <w:szCs w:val="18"/>
              </w:rPr>
              <w:t xml:space="preserve">Avg. Mfg. Cost</w:t>
            </w:r>
          </w:p>
        </w:tc>
      </w:tr>
      <w:tr>
        <w:tc>
          <w:tcPr>
            <w:tcW w:type="dxa" w:w="2200"/>
            <w:tcBorders>
              <w:bottom w:val="single" w:color="E3E0E6" w:sz="2"/>
            </w:tcBorders>
            <w:tcMar>
              <w:top w:type="dxa" w:w="80"/>
              <w:left w:type="dxa" w:w="110"/>
              <w:bottom w:type="dxa" w:w="80"/>
              <w:right w:type="dxa" w:w="110"/>
            </w:tcMar>
          </w:tcPr>
          <w:p>
            <w:r>
              <w:rPr>
                <w:color w:val="231F29"/>
                <w:sz w:val="18"/>
                <w:szCs w:val="18"/>
              </w:rPr>
              <w:t xml:space="preserve">Skincare</w:t>
            </w:r>
          </w:p>
        </w:tc>
        <w:tc>
          <w:tcPr>
            <w:tcW w:type="dxa" w:w="2200"/>
            <w:tcBorders>
              <w:bottom w:val="single" w:color="E3E0E6" w:sz="2"/>
            </w:tcBorders>
            <w:tcMar>
              <w:top w:type="dxa" w:w="80"/>
              <w:left w:type="dxa" w:w="110"/>
              <w:bottom w:type="dxa" w:w="80"/>
              <w:right w:type="dxa" w:w="110"/>
            </w:tcMar>
          </w:tcPr>
          <w:p>
            <w:r>
              <w:rPr>
                <w:color w:val="231F29"/>
                <w:sz w:val="18"/>
                <w:szCs w:val="18"/>
              </w:rPr>
              <w:t xml:space="preserve">$241,628</w:t>
            </w:r>
          </w:p>
        </w:tc>
        <w:tc>
          <w:tcPr>
            <w:tcW w:type="dxa" w:w="1800"/>
            <w:tcBorders>
              <w:bottom w:val="single" w:color="E3E0E6" w:sz="2"/>
            </w:tcBorders>
            <w:tcMar>
              <w:top w:type="dxa" w:w="80"/>
              <w:left w:type="dxa" w:w="110"/>
              <w:bottom w:type="dxa" w:w="80"/>
              <w:right w:type="dxa" w:w="110"/>
            </w:tcMar>
          </w:tcPr>
          <w:p>
            <w:r>
              <w:rPr>
                <w:color w:val="231F29"/>
                <w:sz w:val="18"/>
                <w:szCs w:val="18"/>
              </w:rPr>
              <w:t xml:space="preserve">41.8%</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86%</w:t>
            </w:r>
          </w:p>
        </w:tc>
        <w:tc>
          <w:tcPr>
            <w:tcW w:type="dxa" w:w="1460"/>
            <w:tcBorders>
              <w:bottom w:val="single" w:color="E3E0E6" w:sz="2"/>
            </w:tcBorders>
            <w:tcMar>
              <w:top w:type="dxa" w:w="80"/>
              <w:left w:type="dxa" w:w="110"/>
              <w:bottom w:type="dxa" w:w="80"/>
              <w:right w:type="dxa" w:w="110"/>
            </w:tcMar>
          </w:tcPr>
          <w:p>
            <w:r>
              <w:rPr>
                <w:color w:val="231F29"/>
                <w:sz w:val="18"/>
                <w:szCs w:val="18"/>
              </w:rPr>
              <w:t xml:space="preserve">$49</w:t>
            </w:r>
          </w:p>
        </w:tc>
      </w:tr>
      <w:tr>
        <w:tc>
          <w:tcPr>
            <w:tcW w:type="dxa" w:w="2200"/>
            <w:tcBorders>
              <w:bottom w:val="single" w:color="E3E0E6" w:sz="2"/>
            </w:tcBorders>
            <w:tcMar>
              <w:top w:type="dxa" w:w="80"/>
              <w:left w:type="dxa" w:w="110"/>
              <w:bottom w:type="dxa" w:w="80"/>
              <w:right w:type="dxa" w:w="110"/>
            </w:tcMar>
          </w:tcPr>
          <w:p>
            <w:r>
              <w:rPr>
                <w:color w:val="231F29"/>
                <w:sz w:val="18"/>
                <w:szCs w:val="18"/>
              </w:rPr>
              <w:t xml:space="preserve">Haircare</w:t>
            </w:r>
          </w:p>
        </w:tc>
        <w:tc>
          <w:tcPr>
            <w:tcW w:type="dxa" w:w="2200"/>
            <w:tcBorders>
              <w:bottom w:val="single" w:color="E3E0E6" w:sz="2"/>
            </w:tcBorders>
            <w:tcMar>
              <w:top w:type="dxa" w:w="80"/>
              <w:left w:type="dxa" w:w="110"/>
              <w:bottom w:type="dxa" w:w="80"/>
              <w:right w:type="dxa" w:w="110"/>
            </w:tcMar>
          </w:tcPr>
          <w:p>
            <w:r>
              <w:rPr>
                <w:color w:val="231F29"/>
                <w:sz w:val="18"/>
                <w:szCs w:val="18"/>
              </w:rPr>
              <w:t xml:space="preserve">$174,455</w:t>
            </w:r>
          </w:p>
        </w:tc>
        <w:tc>
          <w:tcPr>
            <w:tcW w:type="dxa" w:w="1800"/>
            <w:tcBorders>
              <w:bottom w:val="single" w:color="E3E0E6" w:sz="2"/>
            </w:tcBorders>
            <w:tcMar>
              <w:top w:type="dxa" w:w="80"/>
              <w:left w:type="dxa" w:w="110"/>
              <w:bottom w:type="dxa" w:w="80"/>
              <w:right w:type="dxa" w:w="110"/>
            </w:tcMar>
          </w:tcPr>
          <w:p>
            <w:r>
              <w:rPr>
                <w:color w:val="231F29"/>
                <w:sz w:val="18"/>
                <w:szCs w:val="18"/>
              </w:rPr>
              <w:t xml:space="preserve">30.2%</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85.3%</w:t>
            </w:r>
          </w:p>
        </w:tc>
        <w:tc>
          <w:tcPr>
            <w:tcW w:type="dxa" w:w="1460"/>
            <w:tcBorders>
              <w:bottom w:val="single" w:color="E3E0E6" w:sz="2"/>
            </w:tcBorders>
            <w:tcMar>
              <w:top w:type="dxa" w:w="80"/>
              <w:left w:type="dxa" w:w="110"/>
              <w:bottom w:type="dxa" w:w="80"/>
              <w:right w:type="dxa" w:w="110"/>
            </w:tcMar>
          </w:tcPr>
          <w:p>
            <w:r>
              <w:rPr>
                <w:color w:val="231F29"/>
                <w:sz w:val="18"/>
                <w:szCs w:val="18"/>
              </w:rPr>
              <w:t xml:space="preserve">$48</w:t>
            </w:r>
          </w:p>
        </w:tc>
      </w:tr>
      <w:tr>
        <w:tc>
          <w:tcPr>
            <w:tcW w:type="dxa" w:w="2200"/>
            <w:tcBorders>
              <w:bottom w:val="single" w:color="E3E0E6" w:sz="2"/>
            </w:tcBorders>
            <w:tcMar>
              <w:top w:type="dxa" w:w="80"/>
              <w:left w:type="dxa" w:w="110"/>
              <w:bottom w:type="dxa" w:w="80"/>
              <w:right w:type="dxa" w:w="110"/>
            </w:tcMar>
          </w:tcPr>
          <w:p>
            <w:r>
              <w:rPr>
                <w:color w:val="231F29"/>
                <w:sz w:val="18"/>
                <w:szCs w:val="18"/>
              </w:rPr>
              <w:t xml:space="preserve">Cosmetics</w:t>
            </w:r>
          </w:p>
        </w:tc>
        <w:tc>
          <w:tcPr>
            <w:tcW w:type="dxa" w:w="2200"/>
            <w:tcBorders>
              <w:bottom w:val="single" w:color="E3E0E6" w:sz="2"/>
            </w:tcBorders>
            <w:tcMar>
              <w:top w:type="dxa" w:w="80"/>
              <w:left w:type="dxa" w:w="110"/>
              <w:bottom w:type="dxa" w:w="80"/>
              <w:right w:type="dxa" w:w="110"/>
            </w:tcMar>
          </w:tcPr>
          <w:p>
            <w:r>
              <w:rPr>
                <w:color w:val="231F29"/>
                <w:sz w:val="18"/>
                <w:szCs w:val="18"/>
              </w:rPr>
              <w:t xml:space="preserve">$161,521</w:t>
            </w:r>
          </w:p>
        </w:tc>
        <w:tc>
          <w:tcPr>
            <w:tcW w:type="dxa" w:w="1800"/>
            <w:tcBorders>
              <w:bottom w:val="single" w:color="E3E0E6" w:sz="2"/>
            </w:tcBorders>
            <w:tcMar>
              <w:top w:type="dxa" w:w="80"/>
              <w:left w:type="dxa" w:w="110"/>
              <w:bottom w:type="dxa" w:w="80"/>
              <w:right w:type="dxa" w:w="110"/>
            </w:tcMar>
          </w:tcPr>
          <w:p>
            <w:r>
              <w:rPr>
                <w:color w:val="231F29"/>
                <w:sz w:val="18"/>
                <w:szCs w:val="18"/>
              </w:rPr>
              <w:t xml:space="preserve">28%</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87.3%</w:t>
            </w:r>
          </w:p>
        </w:tc>
        <w:tc>
          <w:tcPr>
            <w:tcW w:type="dxa" w:w="1460"/>
            <w:tcBorders>
              <w:bottom w:val="single" w:color="E3E0E6" w:sz="2"/>
            </w:tcBorders>
            <w:tcMar>
              <w:top w:type="dxa" w:w="80"/>
              <w:left w:type="dxa" w:w="110"/>
              <w:bottom w:type="dxa" w:w="80"/>
              <w:right w:type="dxa" w:w="110"/>
            </w:tcMar>
          </w:tcPr>
          <w:p>
            <w:r>
              <w:rPr>
                <w:color w:val="231F29"/>
                <w:sz w:val="18"/>
                <w:szCs w:val="18"/>
              </w:rPr>
              <w:t xml:space="preserve">$43</w:t>
            </w:r>
          </w:p>
        </w:tc>
      </w:tr>
    </w:tbl>
    <w:p>
      <w:pPr>
        <w:spacing w:after="0" w:before="200"/>
      </w:pPr>
    </w:p>
    <w:p>
      <w:r>
        <w:br w:type="page"/>
      </w:r>
    </w:p>
    <w:p>
      <w:pPr>
        <w:pStyle w:val="Heading1"/>
        <w:spacing w:after="160" w:before="360"/>
      </w:pPr>
      <w:r>
        <w:rPr>
          <w:b/>
          <w:bCs/>
          <w:color w:val="231F29"/>
          <w:sz w:val="30"/>
          <w:szCs w:val="30"/>
        </w:rPr>
        <w:t xml:space="preserve">4. Cost Structure &amp;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C88A" w:sz="2"/>
              <w:left w:val="single" w:color="E8C88A" w:sz="2"/>
              <w:bottom w:val="single" w:color="E8C88A" w:sz="2"/>
              <w:right w:val="single" w:color="E8C88A" w:sz="2"/>
            </w:tcBorders>
            <w:shd w:fill="FBF1E6" w:val="clear"/>
            <w:tcMar>
              <w:top w:type="dxa" w:w="160"/>
              <w:left w:type="dxa" w:w="200"/>
              <w:bottom w:type="dxa" w:w="160"/>
              <w:right w:type="dxa" w:w="200"/>
            </w:tcMar>
          </w:tcPr>
          <w:p>
            <w:pPr>
              <w:spacing w:after="60"/>
            </w:pPr>
            <w:r>
              <w:rPr>
                <w:b/>
                <w:bCs/>
                <w:color w:val="8A5A1E"/>
                <w:sz w:val="20"/>
                <w:szCs w:val="20"/>
              </w:rPr>
              <w:t xml:space="preserve">Priority Finding</w:t>
            </w:r>
          </w:p>
          <w:p>
            <w:r>
              <w:rPr>
                <w:i w:val="false"/>
                <w:iCs w:val="false"/>
                <w:color w:val="8A5A1E"/>
                <w:sz w:val="20"/>
                <w:szCs w:val="20"/>
              </w:rPr>
              <w:t xml:space="preserve">44 of 100 SKUs (44%) are priced below their recorded manufacturing cost per unit — an implausibly high proportion for a healthy retail portfolio, and the finding most worth validating against source systems before acting on it.</w:t>
            </w:r>
          </w:p>
        </w:tc>
      </w:tr>
    </w:tbl>
    <w:p>
      <w:pPr>
        <w:spacing w:after="160" w:line="300"/>
      </w:pPr>
      <w:r>
        <w:rPr>
          <w:color w:val="231F29"/>
          <w:sz w:val="22"/>
          <w:szCs w:val="22"/>
        </w:rPr>
        <w:t xml:space="preserve">A direct comparison of unit price against manufacturing cost reveals that 44 SKUs (44% of the catalog) are priced below what they cost to manufacture on a per-unit basis. The most extreme case is SKU23 (cosmetics), priced at $4 against a manufacturing cost of $99 — a shortfall of over $94 per unit before any shipping or overhead is applied.</w:t>
      </w:r>
    </w:p>
    <w:p>
      <w:pPr>
        <w:spacing w:after="160" w:line="300"/>
      </w:pPr>
      <w:r>
        <w:rPr>
          <w:color w:val="231F29"/>
          <w:sz w:val="22"/>
          <w:szCs w:val="22"/>
        </w:rPr>
        <w:t xml:space="preserve">This pattern is broad enough that it is unlikely to reflect isolated pricing mistakes. Two explanations are worth investigating: (1) the "Manufacturing costs" field in source systems may represent a batch-level or amortized cost rather than a true per-unit cost, which would make this comparison misleading; or (2) unit pricing genuinely is not covering manufacturing cost for a meaningful share of the catalog, which would be a material margin issue. Either way, this is a data-validation and pricing-governance question that should be resolved before the portfolio-level profit figures in Section 1 are used for planning.</w:t>
      </w:r>
    </w:p>
    <w:p>
      <w:pPr>
        <w:spacing w:after="160" w:line="300"/>
      </w:pPr>
      <w:r>
        <w:rPr>
          <w:color w:val="231F29"/>
          <w:sz w:val="22"/>
          <w:szCs w:val="22"/>
        </w:rPr>
        <w:t xml:space="preserve">Separately, price shows only a weak relationship with manufacturing cost (correlation coefficient: -0.184) and almost no relationship with revenue generated (correlation coefficient: 0.038). In a portfolio with cost-reflective pricing, a stronger positive price–cost correlation would normally be expected.</w:t>
      </w:r>
    </w:p>
    <w:p>
      <w:pPr>
        <w:pStyle w:val="Heading2"/>
        <w:spacing w:after="120" w:before="260"/>
      </w:pPr>
      <w:r>
        <w:rPr>
          <w:b/>
          <w:bCs/>
          <w:color w:val="6B5B95"/>
          <w:sz w:val="24"/>
          <w:szCs w:val="24"/>
        </w:rPr>
        <w:t xml:space="preserve">4.1 Top 5 Highest-Cost SKUs to Manufacture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shd w:fill="2B2730" w:val="clear"/>
            <w:tcMar>
              <w:top w:type="dxa" w:w="90"/>
              <w:left w:type="dxa" w:w="110"/>
              <w:bottom w:type="dxa" w:w="90"/>
              <w:right w:type="dxa" w:w="110"/>
            </w:tcMar>
          </w:tcPr>
          <w:p>
            <w:r>
              <w:rPr>
                <w:b/>
                <w:bCs/>
                <w:color w:val="FFFFFF"/>
                <w:sz w:val="18"/>
                <w:szCs w:val="18"/>
              </w:rPr>
              <w:t xml:space="preserve">SKU</w:t>
            </w:r>
          </w:p>
        </w:tc>
        <w:tc>
          <w:tcPr>
            <w:tcW w:type="dxa" w:w="2400"/>
            <w:shd w:fill="2B2730" w:val="clear"/>
            <w:tcMar>
              <w:top w:type="dxa" w:w="90"/>
              <w:left w:type="dxa" w:w="110"/>
              <w:bottom w:type="dxa" w:w="90"/>
              <w:right w:type="dxa" w:w="110"/>
            </w:tcMar>
          </w:tcPr>
          <w:p>
            <w:r>
              <w:rPr>
                <w:b/>
                <w:bCs/>
                <w:color w:val="FFFFFF"/>
                <w:sz w:val="18"/>
                <w:szCs w:val="18"/>
              </w:rPr>
              <w:t xml:space="preserve">Product Type</w:t>
            </w:r>
          </w:p>
        </w:tc>
        <w:tc>
          <w:tcPr>
            <w:tcW w:type="dxa" w:w="2600"/>
            <w:shd w:fill="2B2730" w:val="clear"/>
            <w:tcMar>
              <w:top w:type="dxa" w:w="90"/>
              <w:left w:type="dxa" w:w="110"/>
              <w:bottom w:type="dxa" w:w="90"/>
              <w:right w:type="dxa" w:w="110"/>
            </w:tcMar>
          </w:tcPr>
          <w:p>
            <w:r>
              <w:rPr>
                <w:b/>
                <w:bCs/>
                <w:color w:val="FFFFFF"/>
                <w:sz w:val="18"/>
                <w:szCs w:val="18"/>
              </w:rPr>
              <w:t xml:space="preserve">Manufacturing Cost</w:t>
            </w:r>
          </w:p>
        </w:tc>
        <w:tc>
          <w:tcPr>
            <w:tcW w:type="dxa" w:w="2560"/>
            <w:shd w:fill="2B2730" w:val="clear"/>
            <w:tcMar>
              <w:top w:type="dxa" w:w="90"/>
              <w:left w:type="dxa" w:w="110"/>
              <w:bottom w:type="dxa" w:w="90"/>
              <w:right w:type="dxa" w:w="110"/>
            </w:tcMar>
          </w:tcPr>
          <w:p>
            <w:r>
              <w:rPr>
                <w:b/>
                <w:bCs/>
                <w:color w:val="FFFFFF"/>
                <w:sz w:val="18"/>
                <w:szCs w:val="18"/>
              </w:rPr>
              <w:t xml:space="preserve">Price</w:t>
            </w:r>
          </w:p>
        </w:tc>
      </w:tr>
      <w:tr>
        <w:tc>
          <w:tcPr>
            <w:tcW w:type="dxa" w:w="1800"/>
            <w:tcBorders>
              <w:bottom w:val="single" w:color="E3E0E6" w:sz="2"/>
            </w:tcBorders>
            <w:tcMar>
              <w:top w:type="dxa" w:w="80"/>
              <w:left w:type="dxa" w:w="110"/>
              <w:bottom w:type="dxa" w:w="80"/>
              <w:right w:type="dxa" w:w="110"/>
            </w:tcMar>
          </w:tcPr>
          <w:p>
            <w:r>
              <w:rPr>
                <w:color w:val="231F29"/>
                <w:sz w:val="18"/>
                <w:szCs w:val="18"/>
              </w:rPr>
              <w:t xml:space="preserve">SKU7</w:t>
            </w:r>
          </w:p>
        </w:tc>
        <w:tc>
          <w:tcPr>
            <w:tcW w:type="dxa" w:w="2400"/>
            <w:tcBorders>
              <w:bottom w:val="single" w:color="E3E0E6" w:sz="2"/>
            </w:tcBorders>
            <w:tcMar>
              <w:top w:type="dxa" w:w="80"/>
              <w:left w:type="dxa" w:w="110"/>
              <w:bottom w:type="dxa" w:w="80"/>
              <w:right w:type="dxa" w:w="110"/>
            </w:tcMar>
          </w:tcPr>
          <w:p>
            <w:r>
              <w:rPr>
                <w:color w:val="231F29"/>
                <w:sz w:val="18"/>
                <w:szCs w:val="18"/>
              </w:rPr>
              <w:t xml:space="preserve">cosmetics</w:t>
            </w:r>
          </w:p>
        </w:tc>
        <w:tc>
          <w:tcPr>
            <w:tcW w:type="dxa" w:w="2600"/>
            <w:tcBorders>
              <w:bottom w:val="single" w:color="E3E0E6" w:sz="2"/>
            </w:tcBorders>
            <w:tcMar>
              <w:top w:type="dxa" w:w="80"/>
              <w:left w:type="dxa" w:w="110"/>
              <w:bottom w:type="dxa" w:w="80"/>
              <w:right w:type="dxa" w:w="110"/>
            </w:tcMar>
          </w:tcPr>
          <w:p>
            <w:r>
              <w:rPr>
                <w:color w:val="231F29"/>
                <w:sz w:val="18"/>
                <w:szCs w:val="18"/>
              </w:rPr>
              <w:t xml:space="preserve">$99</w:t>
            </w:r>
          </w:p>
        </w:tc>
        <w:tc>
          <w:tcPr>
            <w:tcW w:type="dxa" w:w="2560"/>
            <w:tcBorders>
              <w:bottom w:val="single" w:color="E3E0E6" w:sz="2"/>
            </w:tcBorders>
            <w:tcMar>
              <w:top w:type="dxa" w:w="80"/>
              <w:left w:type="dxa" w:w="110"/>
              <w:bottom w:type="dxa" w:w="80"/>
              <w:right w:type="dxa" w:w="110"/>
            </w:tcMar>
          </w:tcPr>
          <w:p>
            <w:r>
              <w:rPr>
                <w:color w:val="231F29"/>
                <w:sz w:val="18"/>
                <w:szCs w:val="18"/>
              </w:rPr>
              <w:t xml:space="preserve">$43</w:t>
            </w:r>
          </w:p>
        </w:tc>
      </w:tr>
      <w:tr>
        <w:tc>
          <w:tcPr>
            <w:tcW w:type="dxa" w:w="1800"/>
            <w:tcBorders>
              <w:bottom w:val="single" w:color="E3E0E6" w:sz="2"/>
            </w:tcBorders>
            <w:tcMar>
              <w:top w:type="dxa" w:w="80"/>
              <w:left w:type="dxa" w:w="110"/>
              <w:bottom w:type="dxa" w:w="80"/>
              <w:right w:type="dxa" w:w="110"/>
            </w:tcMar>
          </w:tcPr>
          <w:p>
            <w:r>
              <w:rPr>
                <w:color w:val="231F29"/>
                <w:sz w:val="18"/>
                <w:szCs w:val="18"/>
              </w:rPr>
              <w:t xml:space="preserve">SKU23</w:t>
            </w:r>
          </w:p>
        </w:tc>
        <w:tc>
          <w:tcPr>
            <w:tcW w:type="dxa" w:w="2400"/>
            <w:tcBorders>
              <w:bottom w:val="single" w:color="E3E0E6" w:sz="2"/>
            </w:tcBorders>
            <w:tcMar>
              <w:top w:type="dxa" w:w="80"/>
              <w:left w:type="dxa" w:w="110"/>
              <w:bottom w:type="dxa" w:w="80"/>
              <w:right w:type="dxa" w:w="110"/>
            </w:tcMar>
          </w:tcPr>
          <w:p>
            <w:r>
              <w:rPr>
                <w:color w:val="231F29"/>
                <w:sz w:val="18"/>
                <w:szCs w:val="18"/>
              </w:rPr>
              <w:t xml:space="preserve">cosmetics</w:t>
            </w:r>
          </w:p>
        </w:tc>
        <w:tc>
          <w:tcPr>
            <w:tcW w:type="dxa" w:w="2600"/>
            <w:tcBorders>
              <w:bottom w:val="single" w:color="E3E0E6" w:sz="2"/>
            </w:tcBorders>
            <w:tcMar>
              <w:top w:type="dxa" w:w="80"/>
              <w:left w:type="dxa" w:w="110"/>
              <w:bottom w:type="dxa" w:w="80"/>
              <w:right w:type="dxa" w:w="110"/>
            </w:tcMar>
          </w:tcPr>
          <w:p>
            <w:r>
              <w:rPr>
                <w:color w:val="231F29"/>
                <w:sz w:val="18"/>
                <w:szCs w:val="18"/>
              </w:rPr>
              <w:t xml:space="preserve">$99</w:t>
            </w:r>
          </w:p>
        </w:tc>
        <w:tc>
          <w:tcPr>
            <w:tcW w:type="dxa" w:w="2560"/>
            <w:tcBorders>
              <w:bottom w:val="single" w:color="E3E0E6" w:sz="2"/>
            </w:tcBorders>
            <w:tcMar>
              <w:top w:type="dxa" w:w="80"/>
              <w:left w:type="dxa" w:w="110"/>
              <w:bottom w:type="dxa" w:w="80"/>
              <w:right w:type="dxa" w:w="110"/>
            </w:tcMar>
          </w:tcPr>
          <w:p>
            <w:r>
              <w:rPr>
                <w:color w:val="231F29"/>
                <w:sz w:val="18"/>
                <w:szCs w:val="18"/>
              </w:rPr>
              <w:t xml:space="preserve">$4</w:t>
            </w:r>
          </w:p>
        </w:tc>
      </w:tr>
      <w:tr>
        <w:tc>
          <w:tcPr>
            <w:tcW w:type="dxa" w:w="1800"/>
            <w:tcBorders>
              <w:bottom w:val="single" w:color="E3E0E6" w:sz="2"/>
            </w:tcBorders>
            <w:tcMar>
              <w:top w:type="dxa" w:w="80"/>
              <w:left w:type="dxa" w:w="110"/>
              <w:bottom w:type="dxa" w:w="80"/>
              <w:right w:type="dxa" w:w="110"/>
            </w:tcMar>
          </w:tcPr>
          <w:p>
            <w:r>
              <w:rPr>
                <w:color w:val="231F29"/>
                <w:sz w:val="18"/>
                <w:szCs w:val="18"/>
              </w:rPr>
              <w:t xml:space="preserve">SKU13</w:t>
            </w:r>
          </w:p>
        </w:tc>
        <w:tc>
          <w:tcPr>
            <w:tcW w:type="dxa" w:w="2400"/>
            <w:tcBorders>
              <w:bottom w:val="single" w:color="E3E0E6" w:sz="2"/>
            </w:tcBorders>
            <w:tcMar>
              <w:top w:type="dxa" w:w="80"/>
              <w:left w:type="dxa" w:w="110"/>
              <w:bottom w:type="dxa" w:w="80"/>
              <w:right w:type="dxa" w:w="110"/>
            </w:tcMar>
          </w:tcPr>
          <w:p>
            <w:r>
              <w:rPr>
                <w:color w:val="231F29"/>
                <w:sz w:val="18"/>
                <w:szCs w:val="18"/>
              </w:rPr>
              <w:t xml:space="preserve">skincare</w:t>
            </w:r>
          </w:p>
        </w:tc>
        <w:tc>
          <w:tcPr>
            <w:tcW w:type="dxa" w:w="2600"/>
            <w:tcBorders>
              <w:bottom w:val="single" w:color="E3E0E6" w:sz="2"/>
            </w:tcBorders>
            <w:tcMar>
              <w:top w:type="dxa" w:w="80"/>
              <w:left w:type="dxa" w:w="110"/>
              <w:bottom w:type="dxa" w:w="80"/>
              <w:right w:type="dxa" w:w="110"/>
            </w:tcMar>
          </w:tcPr>
          <w:p>
            <w:r>
              <w:rPr>
                <w:color w:val="231F29"/>
                <w:sz w:val="18"/>
                <w:szCs w:val="18"/>
              </w:rPr>
              <w:t xml:space="preserve">$98</w:t>
            </w:r>
          </w:p>
        </w:tc>
        <w:tc>
          <w:tcPr>
            <w:tcW w:type="dxa" w:w="2560"/>
            <w:tcBorders>
              <w:bottom w:val="single" w:color="E3E0E6" w:sz="2"/>
            </w:tcBorders>
            <w:tcMar>
              <w:top w:type="dxa" w:w="80"/>
              <w:left w:type="dxa" w:w="110"/>
              <w:bottom w:type="dxa" w:w="80"/>
              <w:right w:type="dxa" w:w="110"/>
            </w:tcMar>
          </w:tcPr>
          <w:p>
            <w:r>
              <w:rPr>
                <w:color w:val="231F29"/>
                <w:sz w:val="18"/>
                <w:szCs w:val="18"/>
              </w:rPr>
              <w:t xml:space="preserve">$16</w:t>
            </w:r>
          </w:p>
        </w:tc>
      </w:tr>
      <w:tr>
        <w:tc>
          <w:tcPr>
            <w:tcW w:type="dxa" w:w="1800"/>
            <w:tcBorders>
              <w:bottom w:val="single" w:color="E3E0E6" w:sz="2"/>
            </w:tcBorders>
            <w:tcMar>
              <w:top w:type="dxa" w:w="80"/>
              <w:left w:type="dxa" w:w="110"/>
              <w:bottom w:type="dxa" w:w="80"/>
              <w:right w:type="dxa" w:w="110"/>
            </w:tcMar>
          </w:tcPr>
          <w:p>
            <w:r>
              <w:rPr>
                <w:color w:val="231F29"/>
                <w:sz w:val="18"/>
                <w:szCs w:val="18"/>
              </w:rPr>
              <w:t xml:space="preserve">SKU83</w:t>
            </w:r>
          </w:p>
        </w:tc>
        <w:tc>
          <w:tcPr>
            <w:tcW w:type="dxa" w:w="2400"/>
            <w:tcBorders>
              <w:bottom w:val="single" w:color="E3E0E6" w:sz="2"/>
            </w:tcBorders>
            <w:tcMar>
              <w:top w:type="dxa" w:w="80"/>
              <w:left w:type="dxa" w:w="110"/>
              <w:bottom w:type="dxa" w:w="80"/>
              <w:right w:type="dxa" w:w="110"/>
            </w:tcMar>
          </w:tcPr>
          <w:p>
            <w:r>
              <w:rPr>
                <w:color w:val="231F29"/>
                <w:sz w:val="18"/>
                <w:szCs w:val="18"/>
              </w:rPr>
              <w:t xml:space="preserve">haircare</w:t>
            </w:r>
          </w:p>
        </w:tc>
        <w:tc>
          <w:tcPr>
            <w:tcW w:type="dxa" w:w="2600"/>
            <w:tcBorders>
              <w:bottom w:val="single" w:color="E3E0E6" w:sz="2"/>
            </w:tcBorders>
            <w:tcMar>
              <w:top w:type="dxa" w:w="80"/>
              <w:left w:type="dxa" w:w="110"/>
              <w:bottom w:type="dxa" w:w="80"/>
              <w:right w:type="dxa" w:w="110"/>
            </w:tcMar>
          </w:tcPr>
          <w:p>
            <w:r>
              <w:rPr>
                <w:color w:val="231F29"/>
                <w:sz w:val="18"/>
                <w:szCs w:val="18"/>
              </w:rPr>
              <w:t xml:space="preserve">$98</w:t>
            </w:r>
          </w:p>
        </w:tc>
        <w:tc>
          <w:tcPr>
            <w:tcW w:type="dxa" w:w="2560"/>
            <w:tcBorders>
              <w:bottom w:val="single" w:color="E3E0E6" w:sz="2"/>
            </w:tcBorders>
            <w:tcMar>
              <w:top w:type="dxa" w:w="80"/>
              <w:left w:type="dxa" w:w="110"/>
              <w:bottom w:type="dxa" w:w="80"/>
              <w:right w:type="dxa" w:w="110"/>
            </w:tcMar>
          </w:tcPr>
          <w:p>
            <w:r>
              <w:rPr>
                <w:color w:val="231F29"/>
                <w:sz w:val="18"/>
                <w:szCs w:val="18"/>
              </w:rPr>
              <w:t xml:space="preserve">$69</w:t>
            </w:r>
          </w:p>
        </w:tc>
      </w:tr>
      <w:tr>
        <w:tc>
          <w:tcPr>
            <w:tcW w:type="dxa" w:w="1800"/>
            <w:tcBorders>
              <w:bottom w:val="single" w:color="E3E0E6" w:sz="2"/>
            </w:tcBorders>
            <w:tcMar>
              <w:top w:type="dxa" w:w="80"/>
              <w:left w:type="dxa" w:w="110"/>
              <w:bottom w:type="dxa" w:w="80"/>
              <w:right w:type="dxa" w:w="110"/>
            </w:tcMar>
          </w:tcPr>
          <w:p>
            <w:r>
              <w:rPr>
                <w:color w:val="231F29"/>
                <w:sz w:val="18"/>
                <w:szCs w:val="18"/>
              </w:rPr>
              <w:t xml:space="preserve">SKU15</w:t>
            </w:r>
          </w:p>
        </w:tc>
        <w:tc>
          <w:tcPr>
            <w:tcW w:type="dxa" w:w="2400"/>
            <w:tcBorders>
              <w:bottom w:val="single" w:color="E3E0E6" w:sz="2"/>
            </w:tcBorders>
            <w:tcMar>
              <w:top w:type="dxa" w:w="80"/>
              <w:left w:type="dxa" w:w="110"/>
              <w:bottom w:type="dxa" w:w="80"/>
              <w:right w:type="dxa" w:w="110"/>
            </w:tcMar>
          </w:tcPr>
          <w:p>
            <w:r>
              <w:rPr>
                <w:color w:val="231F29"/>
                <w:sz w:val="18"/>
                <w:szCs w:val="18"/>
              </w:rPr>
              <w:t xml:space="preserve">skincare</w:t>
            </w:r>
          </w:p>
        </w:tc>
        <w:tc>
          <w:tcPr>
            <w:tcW w:type="dxa" w:w="2600"/>
            <w:tcBorders>
              <w:bottom w:val="single" w:color="E3E0E6" w:sz="2"/>
            </w:tcBorders>
            <w:tcMar>
              <w:top w:type="dxa" w:w="80"/>
              <w:left w:type="dxa" w:w="110"/>
              <w:bottom w:type="dxa" w:w="80"/>
              <w:right w:type="dxa" w:w="110"/>
            </w:tcMar>
          </w:tcPr>
          <w:p>
            <w:r>
              <w:rPr>
                <w:color w:val="231F29"/>
                <w:sz w:val="18"/>
                <w:szCs w:val="18"/>
              </w:rPr>
              <w:t xml:space="preserve">$97</w:t>
            </w:r>
          </w:p>
        </w:tc>
        <w:tc>
          <w:tcPr>
            <w:tcW w:type="dxa" w:w="2560"/>
            <w:tcBorders>
              <w:bottom w:val="single" w:color="E3E0E6" w:sz="2"/>
            </w:tcBorders>
            <w:tcMar>
              <w:top w:type="dxa" w:w="80"/>
              <w:left w:type="dxa" w:w="110"/>
              <w:bottom w:type="dxa" w:w="80"/>
              <w:right w:type="dxa" w:w="110"/>
            </w:tcMar>
          </w:tcPr>
          <w:p>
            <w:r>
              <w:rPr>
                <w:color w:val="231F29"/>
                <w:sz w:val="18"/>
                <w:szCs w:val="18"/>
              </w:rPr>
              <w:t xml:space="preserve">$37</w:t>
            </w:r>
          </w:p>
        </w:tc>
      </w:tr>
    </w:tbl>
    <w:p>
      <w:pPr>
        <w:spacing w:after="200" w:before="200"/>
      </w:pPr>
      <w:r>
        <w:rPr>
          <w:i/>
          <w:iCs/>
          <w:color w:val="6B6572"/>
          <w:sz w:val="18"/>
          <w:szCs w:val="18"/>
        </w:rPr>
        <w:t xml:space="preserve">Four of these five highest-cost-to-produce SKUs are also priced below their manufacturing cost, reinforcing the pattern above.</w:t>
      </w:r>
    </w:p>
    <w:p>
      <w:r>
        <w:br w:type="page"/>
      </w:r>
    </w:p>
    <w:p>
      <w:pPr>
        <w:pStyle w:val="Heading1"/>
        <w:spacing w:after="160" w:before="360"/>
      </w:pPr>
      <w:r>
        <w:rPr>
          <w:b/>
          <w:bCs/>
          <w:color w:val="231F29"/>
          <w:sz w:val="30"/>
          <w:szCs w:val="30"/>
        </w:rPr>
        <w:t xml:space="preserve">5. Lead Time &amp; Quality Trade-offs</w:t>
      </w:r>
    </w:p>
    <w:p>
      <w:pPr>
        <w:spacing w:after="160" w:line="300"/>
      </w:pPr>
      <w:r>
        <w:rPr>
          <w:color w:val="231F29"/>
          <w:sz w:val="22"/>
          <w:szCs w:val="22"/>
        </w:rPr>
        <w:t xml:space="preserve">Plotting lead time against defect rate by product type shows no strong universal correlation, but haircare clusters toward both longer lead times and higher defect rates relative to cosmetics, which trends faster and cleaner on average.</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072384"/>
                    </a:xfrm>
                    <a:prstGeom prst="rect">
                      <a:avLst/>
                    </a:prstGeom>
                  </pic:spPr>
                </pic:pic>
              </a:graphicData>
            </a:graphic>
          </wp:inline>
        </w:drawing>
      </w:r>
    </w:p>
    <w:p>
      <w:pPr>
        <w:spacing w:after="300"/>
        <w:jc w:val="center"/>
      </w:pPr>
      <w:r>
        <w:rPr>
          <w:i/>
          <w:iCs/>
          <w:color w:val="6B6572"/>
          <w:sz w:val="18"/>
          <w:szCs w:val="18"/>
        </w:rPr>
        <w:t xml:space="preserve">Figure 2. Lead time vs. defect rate, bubble size proportional to revenue per SKU.</w:t>
      </w:r>
    </w:p>
    <w:p>
      <w:pPr>
        <w:pStyle w:val="Heading1"/>
        <w:spacing w:after="160" w:before="360"/>
      </w:pPr>
      <w:r>
        <w:rPr>
          <w:b/>
          <w:bCs/>
          <w:color w:val="231F29"/>
          <w:sz w:val="30"/>
          <w:szCs w:val="30"/>
        </w:rPr>
        <w:t xml:space="preserve">6. Supplier Quality Analysis</w:t>
      </w:r>
    </w:p>
    <w:p>
      <w:pPr>
        <w:spacing w:after="160" w:line="300"/>
      </w:pPr>
      <w:r>
        <w:rPr>
          <w:color w:val="231F29"/>
          <w:sz w:val="22"/>
          <w:szCs w:val="22"/>
        </w:rPr>
        <w:t xml:space="preserve">Defect rate varies meaningfully by supplier — nearly a full percentage point separates the best and worst performers. Because defect rate directly affects returns, rework, and customer satisfaction, supplier-level quality is one of the most actionable levers identified in this analysis.</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072384"/>
                    </a:xfrm>
                    <a:prstGeom prst="rect">
                      <a:avLst/>
                    </a:prstGeom>
                  </pic:spPr>
                </pic:pic>
              </a:graphicData>
            </a:graphic>
          </wp:inline>
        </w:drawing>
      </w:r>
    </w:p>
    <w:p>
      <w:pPr>
        <w:spacing w:after="300"/>
        <w:jc w:val="center"/>
      </w:pPr>
      <w:r>
        <w:rPr>
          <w:i/>
          <w:iCs/>
          <w:color w:val="6B6572"/>
          <w:sz w:val="18"/>
          <w:szCs w:val="18"/>
        </w:rPr>
        <w:t xml:space="preserve">Figure 3. Average defect rate by supplier, worst to best.</w:t>
      </w:r>
    </w:p>
    <w:p>
      <w:pPr>
        <w:pStyle w:val="Heading1"/>
        <w:spacing w:after="160" w:before="360"/>
      </w:pPr>
      <w:r>
        <w:rPr>
          <w:b/>
          <w:bCs/>
          <w:color w:val="231F29"/>
          <w:sz w:val="30"/>
          <w:szCs w:val="30"/>
        </w:rPr>
        <w:t xml:space="preserve">7. Quality Inspection Analysis</w:t>
      </w:r>
    </w:p>
    <w:p>
      <w:pPr>
        <w:spacing w:after="160" w:line="300"/>
      </w:pPr>
      <w:r>
        <w:rPr>
          <w:color w:val="231F29"/>
          <w:sz w:val="22"/>
          <w:szCs w:val="22"/>
        </w:rPr>
        <w:t xml:space="preserve">Of all inspected units, 36 (36%) failed inspection outright, 23 (23%) passed, and 41 (41%) remain pending at the time of this data extract. Failed units carry the highest average defect rate (2.57%) of the three outcomes, which is directionally consistent — failed inspection should correlate with higher defects — but a 36% outright fail rate is high enough to warrant root-cause investigation rather than routine monitoring.</w:t>
      </w:r>
    </w:p>
    <w:p>
      <w:pPr>
        <w:pStyle w:val="Heading2"/>
        <w:spacing w:after="120" w:before="260"/>
      </w:pPr>
      <w:r>
        <w:rPr>
          <w:b/>
          <w:bCs/>
          <w:color w:val="6B5B95"/>
          <w:sz w:val="24"/>
          <w:szCs w:val="24"/>
        </w:rPr>
        <w:t xml:space="preserve">7.1 Inspection Outcomes 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2B2730" w:val="clear"/>
            <w:tcMar>
              <w:top w:type="dxa" w:w="90"/>
              <w:left w:type="dxa" w:w="110"/>
              <w:bottom w:type="dxa" w:w="90"/>
              <w:right w:type="dxa" w:w="110"/>
            </w:tcMar>
          </w:tcPr>
          <w:p>
            <w:r>
              <w:rPr>
                <w:b/>
                <w:bCs/>
                <w:color w:val="FFFFFF"/>
                <w:sz w:val="18"/>
                <w:szCs w:val="18"/>
              </w:rPr>
              <w:t xml:space="preserve">Product Type</w:t>
            </w:r>
          </w:p>
        </w:tc>
        <w:tc>
          <w:tcPr>
            <w:tcW w:type="dxa" w:w="2320"/>
            <w:shd w:fill="2B2730" w:val="clear"/>
            <w:tcMar>
              <w:top w:type="dxa" w:w="90"/>
              <w:left w:type="dxa" w:w="110"/>
              <w:bottom w:type="dxa" w:w="90"/>
              <w:right w:type="dxa" w:w="110"/>
            </w:tcMar>
          </w:tcPr>
          <w:p>
            <w:r>
              <w:rPr>
                <w:b/>
                <w:bCs/>
                <w:color w:val="FFFFFF"/>
                <w:sz w:val="18"/>
                <w:szCs w:val="18"/>
              </w:rPr>
              <w:t xml:space="preserve">Fail %</w:t>
            </w:r>
          </w:p>
        </w:tc>
        <w:tc>
          <w:tcPr>
            <w:tcW w:type="dxa" w:w="2320"/>
            <w:shd w:fill="2B2730" w:val="clear"/>
            <w:tcMar>
              <w:top w:type="dxa" w:w="90"/>
              <w:left w:type="dxa" w:w="110"/>
              <w:bottom w:type="dxa" w:w="90"/>
              <w:right w:type="dxa" w:w="110"/>
            </w:tcMar>
          </w:tcPr>
          <w:p>
            <w:r>
              <w:rPr>
                <w:b/>
                <w:bCs/>
                <w:color w:val="FFFFFF"/>
                <w:sz w:val="18"/>
                <w:szCs w:val="18"/>
              </w:rPr>
              <w:t xml:space="preserve">Pass %</w:t>
            </w:r>
          </w:p>
        </w:tc>
        <w:tc>
          <w:tcPr>
            <w:tcW w:type="dxa" w:w="2320"/>
            <w:shd w:fill="2B2730" w:val="clear"/>
            <w:tcMar>
              <w:top w:type="dxa" w:w="90"/>
              <w:left w:type="dxa" w:w="110"/>
              <w:bottom w:type="dxa" w:w="90"/>
              <w:right w:type="dxa" w:w="110"/>
            </w:tcMar>
          </w:tcPr>
          <w:p>
            <w:r>
              <w:rPr>
                <w:b/>
                <w:bCs/>
                <w:color w:val="FFFFFF"/>
                <w:sz w:val="18"/>
                <w:szCs w:val="18"/>
              </w:rPr>
              <w:t xml:space="preserve">Pending %</w:t>
            </w:r>
          </w:p>
        </w:tc>
      </w:tr>
      <w:tr>
        <w:tc>
          <w:tcPr>
            <w:tcW w:type="dxa" w:w="2400"/>
            <w:tcBorders>
              <w:bottom w:val="single" w:color="E3E0E6" w:sz="2"/>
            </w:tcBorders>
            <w:tcMar>
              <w:top w:type="dxa" w:w="80"/>
              <w:left w:type="dxa" w:w="110"/>
              <w:bottom w:type="dxa" w:w="80"/>
              <w:right w:type="dxa" w:w="110"/>
            </w:tcMar>
          </w:tcPr>
          <w:p>
            <w:r>
              <w:rPr>
                <w:color w:val="231F29"/>
                <w:sz w:val="18"/>
                <w:szCs w:val="18"/>
              </w:rPr>
              <w:t xml:space="preserve">Cosmetics</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38.5%</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23.1%</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38.5%</w:t>
            </w:r>
          </w:p>
        </w:tc>
      </w:tr>
      <w:tr>
        <w:tc>
          <w:tcPr>
            <w:tcW w:type="dxa" w:w="2400"/>
            <w:tcBorders>
              <w:bottom w:val="single" w:color="E3E0E6" w:sz="2"/>
            </w:tcBorders>
            <w:tcMar>
              <w:top w:type="dxa" w:w="80"/>
              <w:left w:type="dxa" w:w="110"/>
              <w:bottom w:type="dxa" w:w="80"/>
              <w:right w:type="dxa" w:w="110"/>
            </w:tcMar>
          </w:tcPr>
          <w:p>
            <w:r>
              <w:rPr>
                <w:color w:val="231F29"/>
                <w:sz w:val="18"/>
                <w:szCs w:val="18"/>
              </w:rPr>
              <w:t xml:space="preserve">Haircare</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38.2%</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17.6%</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44.1%</w:t>
            </w:r>
          </w:p>
        </w:tc>
      </w:tr>
      <w:tr>
        <w:tc>
          <w:tcPr>
            <w:tcW w:type="dxa" w:w="2400"/>
            <w:tcBorders>
              <w:bottom w:val="single" w:color="E3E0E6" w:sz="2"/>
            </w:tcBorders>
            <w:tcMar>
              <w:top w:type="dxa" w:w="80"/>
              <w:left w:type="dxa" w:w="110"/>
              <w:bottom w:type="dxa" w:w="80"/>
              <w:right w:type="dxa" w:w="110"/>
            </w:tcMar>
          </w:tcPr>
          <w:p>
            <w:r>
              <w:rPr>
                <w:color w:val="231F29"/>
                <w:sz w:val="18"/>
                <w:szCs w:val="18"/>
              </w:rPr>
              <w:t xml:space="preserve">Skincare</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32.5%</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27.5%</w:t>
            </w:r>
          </w:p>
        </w:tc>
        <w:tc>
          <w:tcPr>
            <w:tcW w:type="dxa" w:w="2320"/>
            <w:tcBorders>
              <w:bottom w:val="single" w:color="E3E0E6" w:sz="2"/>
            </w:tcBorders>
            <w:tcMar>
              <w:top w:type="dxa" w:w="80"/>
              <w:left w:type="dxa" w:w="110"/>
              <w:bottom w:type="dxa" w:w="80"/>
              <w:right w:type="dxa" w:w="110"/>
            </w:tcMar>
          </w:tcPr>
          <w:p>
            <w:r>
              <w:rPr>
                <w:color w:val="231F29"/>
                <w:sz w:val="18"/>
                <w:szCs w:val="18"/>
              </w:rPr>
              <w:t xml:space="preserve">40%</w:t>
            </w:r>
          </w:p>
        </w:tc>
      </w:tr>
    </w:tbl>
    <w:p>
      <w:pPr>
        <w:spacing w:after="200" w:before="200"/>
      </w:pPr>
      <w:r>
        <w:rPr>
          <w:i/>
          <w:iCs/>
          <w:color w:val="6B6572"/>
          <w:sz w:val="18"/>
          <w:szCs w:val="18"/>
        </w:rPr>
        <w:t xml:space="preserve">Haircare shows both the highest fail rate and the lowest pass rate of the three categories, aligning with its elevated defect rate noted in Section 5.</w:t>
      </w:r>
    </w:p>
    <w:p>
      <w:r>
        <w:br w:type="page"/>
      </w:r>
    </w:p>
    <w:p>
      <w:pPr>
        <w:pStyle w:val="Heading1"/>
        <w:spacing w:after="160" w:before="360"/>
      </w:pPr>
      <w:r>
        <w:rPr>
          <w:b/>
          <w:bCs/>
          <w:color w:val="231F29"/>
          <w:sz w:val="30"/>
          <w:szCs w:val="30"/>
        </w:rPr>
        <w:t xml:space="preserve">8. Logistics: Carriers &amp; Transportation</w:t>
      </w:r>
    </w:p>
    <w:p>
      <w:pPr>
        <w:spacing w:after="160" w:line="300"/>
      </w:pPr>
      <w:r>
        <w:rPr>
          <w:color w:val="231F29"/>
          <w:sz w:val="22"/>
          <w:szCs w:val="22"/>
        </w:rPr>
        <w:t xml:space="preserve">Carrier B is the least expensive carrier on average shipping cost per order and simultaneously drives the highest total revenue of the three carriers — an efficient combination worth protecting contractually. Carrier C costs more on average without a corresponding revenue advantage.</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072384"/>
                    </a:xfrm>
                    <a:prstGeom prst="rect">
                      <a:avLst/>
                    </a:prstGeom>
                  </pic:spPr>
                </pic:pic>
              </a:graphicData>
            </a:graphic>
          </wp:inline>
        </w:drawing>
      </w:r>
    </w:p>
    <w:p>
      <w:pPr>
        <w:spacing w:after="300"/>
        <w:jc w:val="center"/>
      </w:pPr>
      <w:r>
        <w:rPr>
          <w:i/>
          <w:iCs/>
          <w:color w:val="6B6572"/>
          <w:sz w:val="18"/>
          <w:szCs w:val="18"/>
        </w:rPr>
        <w:t xml:space="preserve">Figure 4. Average shipping cost (bars) vs. total revenue (line) by carrier.</w:t>
      </w:r>
    </w:p>
    <w:p>
      <w:pPr>
        <w:spacing w:after="160" w:line="300"/>
      </w:pPr>
      <w:r>
        <w:rPr>
          <w:color w:val="231F29"/>
          <w:sz w:val="22"/>
          <w:szCs w:val="22"/>
        </w:rPr>
        <w:t xml:space="preserve">Transportation mode also affects quality outcomes: Road shipments carry the highest defect rate of any mode, while Air — despite a higher per-shipment cost — is the cleanest.</w:t>
      </w:r>
    </w:p>
    <w:p>
      <w:pPr>
        <w:spacing w:after="8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43200"/>
                    </a:xfrm>
                    <a:prstGeom prst="rect">
                      <a:avLst/>
                    </a:prstGeom>
                  </pic:spPr>
                </pic:pic>
              </a:graphicData>
            </a:graphic>
          </wp:inline>
        </w:drawing>
      </w:r>
    </w:p>
    <w:p>
      <w:pPr>
        <w:spacing w:after="300"/>
        <w:jc w:val="center"/>
      </w:pPr>
      <w:r>
        <w:rPr>
          <w:i/>
          <w:iCs/>
          <w:color w:val="6B6572"/>
          <w:sz w:val="18"/>
          <w:szCs w:val="18"/>
        </w:rPr>
        <w:t xml:space="preserve">Figure 5. Average defect rate by transportation mode.</w:t>
      </w:r>
    </w:p>
    <w:p>
      <w:r>
        <w:br w:type="page"/>
      </w:r>
    </w:p>
    <w:p>
      <w:pPr>
        <w:pStyle w:val="Heading1"/>
        <w:spacing w:after="160" w:before="360"/>
      </w:pPr>
      <w:r>
        <w:rPr>
          <w:b/>
          <w:bCs/>
          <w:color w:val="231F29"/>
          <w:sz w:val="30"/>
          <w:szCs w:val="30"/>
        </w:rPr>
        <w:t xml:space="preserve">9. Regional Performance</w:t>
      </w:r>
    </w:p>
    <w:p>
      <w:pPr>
        <w:spacing w:after="160" w:line="300"/>
      </w:pPr>
      <w:r>
        <w:rPr>
          <w:color w:val="231F29"/>
          <w:sz w:val="22"/>
          <w:szCs w:val="22"/>
        </w:rPr>
        <w:t xml:space="preserve">Mumbai and Kolkata are the strongest-performing supplier locations by both revenue and profit, while Delhi lags meaningfully behind on both metrics — worth investigating whether this reflects supplier mix, product mix, or local logistics costs specific to that location.</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3072384"/>
                    </a:xfrm>
                    <a:prstGeom prst="rect">
                      <a:avLst/>
                    </a:prstGeom>
                  </pic:spPr>
                </pic:pic>
              </a:graphicData>
            </a:graphic>
          </wp:inline>
        </w:drawing>
      </w:r>
    </w:p>
    <w:p>
      <w:pPr>
        <w:spacing w:after="300"/>
        <w:jc w:val="center"/>
      </w:pPr>
      <w:r>
        <w:rPr>
          <w:i/>
          <w:iCs/>
          <w:color w:val="6B6572"/>
          <w:sz w:val="18"/>
          <w:szCs w:val="18"/>
        </w:rPr>
        <w:t xml:space="preserve">Figure 6. Total revenue generated by supplier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2730" w:val="clear"/>
            <w:tcMar>
              <w:top w:type="dxa" w:w="90"/>
              <w:left w:type="dxa" w:w="110"/>
              <w:bottom w:type="dxa" w:w="90"/>
              <w:right w:type="dxa" w:w="110"/>
            </w:tcMar>
          </w:tcPr>
          <w:p>
            <w:r>
              <w:rPr>
                <w:b/>
                <w:bCs/>
                <w:color w:val="FFFFFF"/>
                <w:sz w:val="18"/>
                <w:szCs w:val="18"/>
              </w:rPr>
              <w:t xml:space="preserve">Location</w:t>
            </w:r>
          </w:p>
        </w:tc>
        <w:tc>
          <w:tcPr>
            <w:tcW w:type="dxa" w:w="3120"/>
            <w:shd w:fill="2B2730" w:val="clear"/>
            <w:tcMar>
              <w:top w:type="dxa" w:w="90"/>
              <w:left w:type="dxa" w:w="110"/>
              <w:bottom w:type="dxa" w:w="90"/>
              <w:right w:type="dxa" w:w="110"/>
            </w:tcMar>
          </w:tcPr>
          <w:p>
            <w:r>
              <w:rPr>
                <w:b/>
                <w:bCs/>
                <w:color w:val="FFFFFF"/>
                <w:sz w:val="18"/>
                <w:szCs w:val="18"/>
              </w:rPr>
              <w:t xml:space="preserve">Revenue</w:t>
            </w:r>
          </w:p>
        </w:tc>
        <w:tc>
          <w:tcPr>
            <w:tcW w:type="dxa" w:w="3120"/>
            <w:shd w:fill="2B2730" w:val="clear"/>
            <w:tcMar>
              <w:top w:type="dxa" w:w="90"/>
              <w:left w:type="dxa" w:w="110"/>
              <w:bottom w:type="dxa" w:w="90"/>
              <w:right w:type="dxa" w:w="110"/>
            </w:tcMar>
          </w:tcPr>
          <w:p>
            <w:r>
              <w:rPr>
                <w:b/>
                <w:bCs/>
                <w:color w:val="FFFFFF"/>
                <w:sz w:val="18"/>
                <w:szCs w:val="18"/>
              </w:rPr>
              <w:t xml:space="preserve">Profit</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Mumbai</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$137,755</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$127,386</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Kolkata</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$137,078</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$123,605</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Chennai</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$119,143</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$105,591</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Bangalore</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$102,602</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$90,822</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Delhi</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$81,028</w:t>
            </w:r>
          </w:p>
        </w:tc>
        <w:tc>
          <w:tcPr>
            <w:tcW w:type="dxa" w:w="3120"/>
            <w:tcBorders>
              <w:bottom w:val="single" w:color="E3E0E6" w:sz="2"/>
            </w:tcBorders>
            <w:tcMar>
              <w:top w:type="dxa" w:w="80"/>
              <w:left w:type="dxa" w:w="110"/>
              <w:bottom w:type="dxa" w:w="80"/>
              <w:right w:type="dxa" w:w="110"/>
            </w:tcMar>
          </w:tcPr>
          <w:p>
            <w:r>
              <w:rPr>
                <w:color w:val="231F29"/>
                <w:sz w:val="18"/>
                <w:szCs w:val="18"/>
              </w:rPr>
              <w:t xml:space="preserve">$71,995</w:t>
            </w:r>
          </w:p>
        </w:tc>
      </w:tr>
    </w:tbl>
    <w:p>
      <w:r>
        <w:br w:type="page"/>
      </w:r>
    </w:p>
    <w:p>
      <w:pPr>
        <w:pStyle w:val="Heading1"/>
        <w:spacing w:after="160" w:before="360"/>
      </w:pPr>
      <w:r>
        <w:rPr>
          <w:b/>
          <w:bCs/>
          <w:color w:val="231F29"/>
          <w:sz w:val="30"/>
          <w:szCs w:val="30"/>
        </w:rPr>
        <w:t xml:space="preserve">10. Risk Assessment &amp; Data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C88A" w:sz="2"/>
              <w:left w:val="single" w:color="E8C88A" w:sz="2"/>
              <w:bottom w:val="single" w:color="E8C88A" w:sz="2"/>
              <w:right w:val="single" w:color="E8C88A" w:sz="2"/>
            </w:tcBorders>
            <w:shd w:fill="FBF1E6" w:val="clear"/>
            <w:tcMar>
              <w:top w:type="dxa" w:w="160"/>
              <w:left w:type="dxa" w:w="200"/>
              <w:bottom w:type="dxa" w:w="160"/>
              <w:right w:type="dxa" w:w="200"/>
            </w:tcMar>
          </w:tcPr>
          <w:p>
            <w:r>
              <w:rPr>
                <w:i/>
                <w:iCs/>
                <w:color w:val="8A5A1E"/>
                <w:sz w:val="20"/>
                <w:szCs w:val="20"/>
              </w:rPr>
              <w:t xml:space="preserve">The findings in this report are based on a 100-SKU extract. Directional patterns (which supplier, carrier, or category underperforms) are likely to hold at scale, but exact percentages should be re-validated against the complete dataset before being used in financial planning.</w:t>
            </w:r>
          </w:p>
        </w:tc>
      </w:tr>
    </w:tbl>
    <w:p>
      <w:pPr>
        <w:pStyle w:val="Heading2"/>
        <w:spacing w:after="120" w:before="260"/>
      </w:pPr>
      <w:r>
        <w:rPr>
          <w:b/>
          <w:bCs/>
          <w:color w:val="6B5B95"/>
          <w:sz w:val="24"/>
          <w:szCs w:val="24"/>
        </w:rPr>
        <w:t xml:space="preserve">10.1 Identified Risks</w:t>
      </w:r>
    </w:p>
    <w:p>
      <w:pPr>
        <w:pStyle w:val="ListParagraph"/>
        <w:numPr>
          <w:ilvl w:val="0"/>
          <w:numId w:val="2"/>
        </w:numPr>
        <w:spacing w:after="100" w:line="280"/>
      </w:pPr>
      <w:r>
        <w:rPr>
          <w:color w:val="231F29"/>
          <w:sz w:val="22"/>
          <w:szCs w:val="22"/>
        </w:rPr>
        <w:t xml:space="preserve">Revenue concentration: skincare represents over 40% of revenue — a category-level disruption would have outsized impact.</w:t>
      </w:r>
    </w:p>
    <w:p>
      <w:pPr>
        <w:pStyle w:val="ListParagraph"/>
        <w:numPr>
          <w:ilvl w:val="0"/>
          <w:numId w:val="2"/>
        </w:numPr>
        <w:spacing w:after="100" w:line="280"/>
      </w:pPr>
      <w:r>
        <w:rPr>
          <w:color w:val="231F29"/>
          <w:sz w:val="22"/>
          <w:szCs w:val="22"/>
        </w:rPr>
        <w:t xml:space="preserve">Unit economics data quality: the price-vs-manufacturing-cost anomaly in Section 4 affects the reliability of portfolio-level profit and margin figures until resolved.</w:t>
      </w:r>
    </w:p>
    <w:p>
      <w:pPr>
        <w:pStyle w:val="ListParagraph"/>
        <w:numPr>
          <w:ilvl w:val="0"/>
          <w:numId w:val="2"/>
        </w:numPr>
        <w:spacing w:after="100" w:line="280"/>
      </w:pPr>
      <w:r>
        <w:rPr>
          <w:color w:val="231F29"/>
          <w:sz w:val="22"/>
          <w:szCs w:val="22"/>
        </w:rPr>
        <w:t xml:space="preserve">Supplier concentration risk: quality varies by up to 0.9 percentage points across only five suppliers, meaning a single underperforming relationship has outsized influence on portfolio-wide defect rate.</w:t>
      </w:r>
    </w:p>
    <w:p>
      <w:pPr>
        <w:pStyle w:val="ListParagraph"/>
        <w:numPr>
          <w:ilvl w:val="0"/>
          <w:numId w:val="2"/>
        </w:numPr>
        <w:spacing w:after="100" w:line="280"/>
      </w:pPr>
      <w:r>
        <w:rPr>
          <w:color w:val="231F29"/>
          <w:sz w:val="22"/>
          <w:szCs w:val="22"/>
        </w:rPr>
        <w:t xml:space="preserve">Inspection backlog: 41% of units remain in "Pending" inspection status in this extract, which limits full visibility into true quality performance.</w:t>
      </w:r>
    </w:p>
    <w:p>
      <w:pPr>
        <w:pStyle w:val="Heading2"/>
        <w:spacing w:after="120" w:before="260"/>
      </w:pPr>
      <w:r>
        <w:rPr>
          <w:b/>
          <w:bCs/>
          <w:color w:val="6B5B95"/>
          <w:sz w:val="24"/>
          <w:szCs w:val="24"/>
        </w:rPr>
        <w:t xml:space="preserve">10.2 Assumptions</w:t>
      </w:r>
    </w:p>
    <w:p>
      <w:pPr>
        <w:pStyle w:val="ListParagraph"/>
        <w:numPr>
          <w:ilvl w:val="0"/>
          <w:numId w:val="2"/>
        </w:numPr>
        <w:spacing w:after="100" w:line="280"/>
      </w:pPr>
      <w:r>
        <w:rPr>
          <w:color w:val="231F29"/>
          <w:sz w:val="22"/>
          <w:szCs w:val="22"/>
        </w:rPr>
        <w:t xml:space="preserve">Profit was derived using the formula in Section 2.3; no separate overhead, tax, or return-rate adjustments were available in the source data.</w:t>
      </w:r>
    </w:p>
    <w:p>
      <w:pPr>
        <w:pStyle w:val="ListParagraph"/>
        <w:numPr>
          <w:ilvl w:val="0"/>
          <w:numId w:val="2"/>
        </w:numPr>
        <w:spacing w:after="100" w:line="280"/>
      </w:pPr>
      <w:r>
        <w:rPr>
          <w:color w:val="231F29"/>
          <w:sz w:val="22"/>
          <w:szCs w:val="22"/>
        </w:rPr>
        <w:t xml:space="preserve">"Location" is treated as supplier/manufacturing location, consistent with the data dictionary provided with the dataset.</w:t>
      </w:r>
    </w:p>
    <w:p>
      <w:r>
        <w:br w:type="page"/>
      </w:r>
    </w:p>
    <w:p>
      <w:pPr>
        <w:pStyle w:val="Heading1"/>
        <w:spacing w:after="160" w:before="360"/>
      </w:pPr>
      <w:r>
        <w:rPr>
          <w:b/>
          <w:bCs/>
          <w:color w:val="231F29"/>
          <w:sz w:val="30"/>
          <w:szCs w:val="30"/>
        </w:rPr>
        <w:t xml:space="preserve">11. Recommendations &amp; Implementation Roadmap</w:t>
      </w:r>
    </w:p>
    <w:p>
      <w:pPr>
        <w:pStyle w:val="Heading2"/>
        <w:spacing w:after="120" w:before="260"/>
      </w:pPr>
      <w:r>
        <w:rPr>
          <w:b/>
          <w:bCs/>
          <w:color w:val="6B5B95"/>
          <w:sz w:val="24"/>
          <w:szCs w:val="24"/>
        </w:rPr>
        <w:t xml:space="preserve">1. Validate and resolve the unit-economics data anomaly</w:t>
      </w:r>
    </w:p>
    <w:p>
      <w:pPr>
        <w:spacing w:after="160" w:line="300"/>
      </w:pPr>
      <w:r>
        <w:rPr>
          <w:color w:val="231F29"/>
          <w:sz w:val="22"/>
          <w:szCs w:val="22"/>
        </w:rPr>
        <w:t xml:space="preserve">Before any pricing or margin decision is made from this data, reconcile the "Manufacturing costs" field against source ERP/costing systems to confirm whether it reflects true per-unit cost. If confirmed accurate, initiate an immediate pricing review for the 44 affected SKUs.</w:t>
      </w:r>
    </w:p>
    <w:p>
      <w:pPr>
        <w:pStyle w:val="Heading2"/>
        <w:spacing w:after="120" w:before="260"/>
      </w:pPr>
      <w:r>
        <w:rPr>
          <w:b/>
          <w:bCs/>
          <w:color w:val="6B5B95"/>
          <w:sz w:val="24"/>
          <w:szCs w:val="24"/>
        </w:rPr>
        <w:t xml:space="preserve">2. Audit and re-negotiate with the highest-defect supplier</w:t>
      </w:r>
    </w:p>
    <w:p>
      <w:pPr>
        <w:spacing w:after="160" w:line="300"/>
      </w:pPr>
      <w:r>
        <w:rPr>
          <w:color w:val="231F29"/>
          <w:sz w:val="22"/>
          <w:szCs w:val="22"/>
        </w:rPr>
        <w:t xml:space="preserve">Supplier 5 posts the highest average defect rate (2.67%) in the network. Recommend a formal quality audit within the next quarter, with a corrective action plan or phased volume reduction if defect rates do not improve within 90 days.</w:t>
      </w:r>
    </w:p>
    <w:p>
      <w:pPr>
        <w:pStyle w:val="Heading2"/>
        <w:spacing w:after="120" w:before="260"/>
      </w:pPr>
      <w:r>
        <w:rPr>
          <w:b/>
          <w:bCs/>
          <w:color w:val="6B5B95"/>
          <w:sz w:val="24"/>
          <w:szCs w:val="24"/>
        </w:rPr>
        <w:t xml:space="preserve">3. Investigate the root cause of the 36% inspection fail rate</w:t>
      </w:r>
    </w:p>
    <w:p>
      <w:pPr>
        <w:spacing w:after="160" w:line="300"/>
      </w:pPr>
      <w:r>
        <w:rPr>
          <w:color w:val="231F29"/>
          <w:sz w:val="22"/>
          <w:szCs w:val="22"/>
        </w:rPr>
        <w:t xml:space="preserve">A more than one-in-three outright fail rate is high enough to suggest a systemic issue rather than isolated defects — recommend a targeted root-cause review focused on haircare, which shows the weakest inspection outcomes of the three categories.</w:t>
      </w:r>
    </w:p>
    <w:p>
      <w:pPr>
        <w:pStyle w:val="Heading2"/>
        <w:spacing w:after="120" w:before="260"/>
      </w:pPr>
      <w:r>
        <w:rPr>
          <w:b/>
          <w:bCs/>
          <w:color w:val="6B5B95"/>
          <w:sz w:val="24"/>
          <w:szCs w:val="24"/>
        </w:rPr>
        <w:t xml:space="preserve">4. Shift a portion of haircare shipments off Road transport</w:t>
      </w:r>
    </w:p>
    <w:p>
      <w:pPr>
        <w:spacing w:after="160" w:line="300"/>
      </w:pPr>
      <w:r>
        <w:rPr>
          <w:color w:val="231F29"/>
          <w:sz w:val="22"/>
          <w:szCs w:val="22"/>
        </w:rPr>
        <w:t xml:space="preserve">Haircare combines an above-average defect rate with above-average stock-to-sales ratio, and Road transport shows the worst defect performance of any mode. Piloting Air or Rail for haircare's highest-value SKUs could reduce returns even after accounting for higher freight cost.</w:t>
      </w:r>
    </w:p>
    <w:p>
      <w:pPr>
        <w:pStyle w:val="Heading2"/>
        <w:spacing w:after="120" w:before="260"/>
      </w:pPr>
      <w:r>
        <w:rPr>
          <w:b/>
          <w:bCs/>
          <w:color w:val="6B5B95"/>
          <w:sz w:val="24"/>
          <w:szCs w:val="24"/>
        </w:rP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1700"/>
        <w:gridCol w:w="2260"/>
      </w:tblGrid>
      <w:tr>
        <w:trPr>
          <w:tblHeader/>
        </w:trPr>
        <w:tc>
          <w:tcPr>
            <w:tcW w:type="dxa" w:w="500"/>
            <w:shd w:fill="2B2730" w:val="clear"/>
            <w:tcMar>
              <w:top w:type="dxa" w:w="90"/>
              <w:left w:type="dxa" w:w="110"/>
              <w:bottom w:type="dxa" w:w="90"/>
              <w:right w:type="dxa" w:w="110"/>
            </w:tcMar>
          </w:tcPr>
          <w:p>
            <w:r>
              <w:rPr>
                <w:b/>
                <w:bCs/>
                <w:color w:val="FFFFFF"/>
                <w:sz w:val="18"/>
                <w:szCs w:val="18"/>
              </w:rPr>
              <w:t xml:space="preserve">#</w:t>
            </w:r>
          </w:p>
        </w:tc>
        <w:tc>
          <w:tcPr>
            <w:tcW w:type="dxa" w:w="3400"/>
            <w:shd w:fill="2B2730" w:val="clear"/>
            <w:tcMar>
              <w:top w:type="dxa" w:w="90"/>
              <w:left w:type="dxa" w:w="110"/>
              <w:bottom w:type="dxa" w:w="90"/>
              <w:right w:type="dxa" w:w="110"/>
            </w:tcMar>
          </w:tcPr>
          <w:p>
            <w:r>
              <w:rPr>
                <w:b/>
                <w:bCs/>
                <w:color w:val="FFFFFF"/>
                <w:sz w:val="18"/>
                <w:szCs w:val="18"/>
              </w:rPr>
              <w:t xml:space="preserve">Action</w:t>
            </w:r>
          </w:p>
        </w:tc>
        <w:tc>
          <w:tcPr>
            <w:tcW w:type="dxa" w:w="1500"/>
            <w:shd w:fill="2B2730" w:val="clear"/>
            <w:tcMar>
              <w:top w:type="dxa" w:w="90"/>
              <w:left w:type="dxa" w:w="110"/>
              <w:bottom w:type="dxa" w:w="90"/>
              <w:right w:type="dxa" w:w="110"/>
            </w:tcMar>
          </w:tcPr>
          <w:p>
            <w:r>
              <w:rPr>
                <w:b/>
                <w:bCs/>
                <w:color w:val="FFFFFF"/>
                <w:sz w:val="18"/>
                <w:szCs w:val="18"/>
              </w:rPr>
              <w:t xml:space="preserve">Priority</w:t>
            </w:r>
          </w:p>
        </w:tc>
        <w:tc>
          <w:tcPr>
            <w:tcW w:type="dxa" w:w="1700"/>
            <w:shd w:fill="2B2730" w:val="clear"/>
            <w:tcMar>
              <w:top w:type="dxa" w:w="90"/>
              <w:left w:type="dxa" w:w="110"/>
              <w:bottom w:type="dxa" w:w="90"/>
              <w:right w:type="dxa" w:w="110"/>
            </w:tcMar>
          </w:tcPr>
          <w:p>
            <w:r>
              <w:rPr>
                <w:b/>
                <w:bCs/>
                <w:color w:val="FFFFFF"/>
                <w:sz w:val="18"/>
                <w:szCs w:val="18"/>
              </w:rPr>
              <w:t xml:space="preserve">Timeframe</w:t>
            </w:r>
          </w:p>
        </w:tc>
        <w:tc>
          <w:tcPr>
            <w:tcW w:type="dxa" w:w="2260"/>
            <w:shd w:fill="2B2730" w:val="clear"/>
            <w:tcMar>
              <w:top w:type="dxa" w:w="90"/>
              <w:left w:type="dxa" w:w="110"/>
              <w:bottom w:type="dxa" w:w="90"/>
              <w:right w:type="dxa" w:w="110"/>
            </w:tcMar>
          </w:tcPr>
          <w:p>
            <w:r>
              <w:rPr>
                <w:b/>
                <w:bCs/>
                <w:color w:val="FFFFFF"/>
                <w:sz w:val="18"/>
                <w:szCs w:val="18"/>
              </w:rPr>
              <w:t xml:space="preserve">Owner</w:t>
            </w:r>
          </w:p>
        </w:tc>
      </w:tr>
      <w:tr>
        <w:tc>
          <w:tcPr>
            <w:tcW w:type="dxa" w:w="500"/>
            <w:tcBorders>
              <w:bottom w:val="single" w:color="E3E0E6" w:sz="2"/>
            </w:tcBorders>
            <w:tcMar>
              <w:top w:type="dxa" w:w="80"/>
              <w:left w:type="dxa" w:w="110"/>
              <w:bottom w:type="dxa" w:w="80"/>
              <w:right w:type="dxa" w:w="110"/>
            </w:tcMar>
          </w:tcPr>
          <w:p>
            <w:r>
              <w:rPr>
                <w:color w:val="231F29"/>
                <w:sz w:val="18"/>
                <w:szCs w:val="18"/>
              </w:rPr>
              <w:t xml:space="preserve">1</w:t>
            </w:r>
          </w:p>
        </w:tc>
        <w:tc>
          <w:tcPr>
            <w:tcW w:type="dxa" w:w="3400"/>
            <w:tcBorders>
              <w:bottom w:val="single" w:color="E3E0E6" w:sz="2"/>
            </w:tcBorders>
            <w:tcMar>
              <w:top w:type="dxa" w:w="80"/>
              <w:left w:type="dxa" w:w="110"/>
              <w:bottom w:type="dxa" w:w="80"/>
              <w:right w:type="dxa" w:w="110"/>
            </w:tcMar>
          </w:tcPr>
          <w:p>
            <w:r>
              <w:rPr>
                <w:color w:val="231F29"/>
                <w:sz w:val="18"/>
                <w:szCs w:val="18"/>
              </w:rPr>
              <w:t xml:space="preserve">Validate unit-economics data anomaly</w:t>
            </w:r>
          </w:p>
        </w:tc>
        <w:tc>
          <w:tcPr>
            <w:tcW w:type="dxa" w:w="1500"/>
            <w:tcBorders>
              <w:bottom w:val="single" w:color="E3E0E6" w:sz="2"/>
            </w:tcBorders>
            <w:tcMar>
              <w:top w:type="dxa" w:w="80"/>
              <w:left w:type="dxa" w:w="110"/>
              <w:bottom w:type="dxa" w:w="80"/>
              <w:right w:type="dxa" w:w="110"/>
            </w:tcMar>
          </w:tcPr>
          <w:p>
            <w:r>
              <w:rPr>
                <w:color w:val="231F29"/>
                <w:sz w:val="18"/>
                <w:szCs w:val="18"/>
              </w:rPr>
              <w:t xml:space="preserve">Critical</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2 weeks</w:t>
            </w:r>
          </w:p>
        </w:tc>
        <w:tc>
          <w:tcPr>
            <w:tcW w:type="dxa" w:w="2260"/>
            <w:tcBorders>
              <w:bottom w:val="single" w:color="E3E0E6" w:sz="2"/>
            </w:tcBorders>
            <w:tcMar>
              <w:top w:type="dxa" w:w="80"/>
              <w:left w:type="dxa" w:w="110"/>
              <w:bottom w:type="dxa" w:w="80"/>
              <w:right w:type="dxa" w:w="110"/>
            </w:tcMar>
          </w:tcPr>
          <w:p>
            <w:r>
              <w:rPr>
                <w:color w:val="231F29"/>
                <w:sz w:val="18"/>
                <w:szCs w:val="18"/>
              </w:rPr>
              <w:t xml:space="preserve">Finance / Data</w:t>
            </w:r>
          </w:p>
        </w:tc>
      </w:tr>
      <w:tr>
        <w:tc>
          <w:tcPr>
            <w:tcW w:type="dxa" w:w="500"/>
            <w:tcBorders>
              <w:bottom w:val="single" w:color="E3E0E6" w:sz="2"/>
            </w:tcBorders>
            <w:tcMar>
              <w:top w:type="dxa" w:w="80"/>
              <w:left w:type="dxa" w:w="110"/>
              <w:bottom w:type="dxa" w:w="80"/>
              <w:right w:type="dxa" w:w="110"/>
            </w:tcMar>
          </w:tcPr>
          <w:p>
            <w:r>
              <w:rPr>
                <w:color w:val="231F29"/>
                <w:sz w:val="18"/>
                <w:szCs w:val="18"/>
              </w:rPr>
              <w:t xml:space="preserve">2</w:t>
            </w:r>
          </w:p>
        </w:tc>
        <w:tc>
          <w:tcPr>
            <w:tcW w:type="dxa" w:w="3400"/>
            <w:tcBorders>
              <w:bottom w:val="single" w:color="E3E0E6" w:sz="2"/>
            </w:tcBorders>
            <w:tcMar>
              <w:top w:type="dxa" w:w="80"/>
              <w:left w:type="dxa" w:w="110"/>
              <w:bottom w:type="dxa" w:w="80"/>
              <w:right w:type="dxa" w:w="110"/>
            </w:tcMar>
          </w:tcPr>
          <w:p>
            <w:r>
              <w:rPr>
                <w:color w:val="231F29"/>
                <w:sz w:val="18"/>
                <w:szCs w:val="18"/>
              </w:rPr>
              <w:t xml:space="preserve">Supplier quality audit &amp; corrective plan</w:t>
            </w:r>
          </w:p>
        </w:tc>
        <w:tc>
          <w:tcPr>
            <w:tcW w:type="dxa" w:w="1500"/>
            <w:tcBorders>
              <w:bottom w:val="single" w:color="E3E0E6" w:sz="2"/>
            </w:tcBorders>
            <w:tcMar>
              <w:top w:type="dxa" w:w="80"/>
              <w:left w:type="dxa" w:w="110"/>
              <w:bottom w:type="dxa" w:w="80"/>
              <w:right w:type="dxa" w:w="110"/>
            </w:tcMar>
          </w:tcPr>
          <w:p>
            <w:r>
              <w:rPr>
                <w:color w:val="231F29"/>
                <w:sz w:val="18"/>
                <w:szCs w:val="18"/>
              </w:rPr>
              <w:t xml:space="preserve">High</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1 quarter</w:t>
            </w:r>
          </w:p>
        </w:tc>
        <w:tc>
          <w:tcPr>
            <w:tcW w:type="dxa" w:w="2260"/>
            <w:tcBorders>
              <w:bottom w:val="single" w:color="E3E0E6" w:sz="2"/>
            </w:tcBorders>
            <w:tcMar>
              <w:top w:type="dxa" w:w="80"/>
              <w:left w:type="dxa" w:w="110"/>
              <w:bottom w:type="dxa" w:w="80"/>
              <w:right w:type="dxa" w:w="110"/>
            </w:tcMar>
          </w:tcPr>
          <w:p>
            <w:r>
              <w:rPr>
                <w:color w:val="231F29"/>
                <w:sz w:val="18"/>
                <w:szCs w:val="18"/>
              </w:rPr>
              <w:t xml:space="preserve">Procurement</w:t>
            </w:r>
          </w:p>
        </w:tc>
      </w:tr>
      <w:tr>
        <w:tc>
          <w:tcPr>
            <w:tcW w:type="dxa" w:w="500"/>
            <w:tcBorders>
              <w:bottom w:val="single" w:color="E3E0E6" w:sz="2"/>
            </w:tcBorders>
            <w:tcMar>
              <w:top w:type="dxa" w:w="80"/>
              <w:left w:type="dxa" w:w="110"/>
              <w:bottom w:type="dxa" w:w="80"/>
              <w:right w:type="dxa" w:w="110"/>
            </w:tcMar>
          </w:tcPr>
          <w:p>
            <w:r>
              <w:rPr>
                <w:color w:val="231F29"/>
                <w:sz w:val="18"/>
                <w:szCs w:val="18"/>
              </w:rPr>
              <w:t xml:space="preserve">3</w:t>
            </w:r>
          </w:p>
        </w:tc>
        <w:tc>
          <w:tcPr>
            <w:tcW w:type="dxa" w:w="3400"/>
            <w:tcBorders>
              <w:bottom w:val="single" w:color="E3E0E6" w:sz="2"/>
            </w:tcBorders>
            <w:tcMar>
              <w:top w:type="dxa" w:w="80"/>
              <w:left w:type="dxa" w:w="110"/>
              <w:bottom w:type="dxa" w:w="80"/>
              <w:right w:type="dxa" w:w="110"/>
            </w:tcMar>
          </w:tcPr>
          <w:p>
            <w:r>
              <w:rPr>
                <w:color w:val="231F29"/>
                <w:sz w:val="18"/>
                <w:szCs w:val="18"/>
              </w:rPr>
              <w:t xml:space="preserve">Root-cause review of inspection fail rate</w:t>
            </w:r>
          </w:p>
        </w:tc>
        <w:tc>
          <w:tcPr>
            <w:tcW w:type="dxa" w:w="1500"/>
            <w:tcBorders>
              <w:bottom w:val="single" w:color="E3E0E6" w:sz="2"/>
            </w:tcBorders>
            <w:tcMar>
              <w:top w:type="dxa" w:w="80"/>
              <w:left w:type="dxa" w:w="110"/>
              <w:bottom w:type="dxa" w:w="80"/>
              <w:right w:type="dxa" w:w="110"/>
            </w:tcMar>
          </w:tcPr>
          <w:p>
            <w:r>
              <w:rPr>
                <w:color w:val="231F29"/>
                <w:sz w:val="18"/>
                <w:szCs w:val="18"/>
              </w:rPr>
              <w:t xml:space="preserve">High</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6 weeks</w:t>
            </w:r>
          </w:p>
        </w:tc>
        <w:tc>
          <w:tcPr>
            <w:tcW w:type="dxa" w:w="2260"/>
            <w:tcBorders>
              <w:bottom w:val="single" w:color="E3E0E6" w:sz="2"/>
            </w:tcBorders>
            <w:tcMar>
              <w:top w:type="dxa" w:w="80"/>
              <w:left w:type="dxa" w:w="110"/>
              <w:bottom w:type="dxa" w:w="80"/>
              <w:right w:type="dxa" w:w="110"/>
            </w:tcMar>
          </w:tcPr>
          <w:p>
            <w:r>
              <w:rPr>
                <w:color w:val="231F29"/>
                <w:sz w:val="18"/>
                <w:szCs w:val="18"/>
              </w:rPr>
              <w:t xml:space="preserve">Quality Assurance</w:t>
            </w:r>
          </w:p>
        </w:tc>
      </w:tr>
      <w:tr>
        <w:tc>
          <w:tcPr>
            <w:tcW w:type="dxa" w:w="500"/>
            <w:tcBorders>
              <w:bottom w:val="single" w:color="E3E0E6" w:sz="2"/>
            </w:tcBorders>
            <w:tcMar>
              <w:top w:type="dxa" w:w="80"/>
              <w:left w:type="dxa" w:w="110"/>
              <w:bottom w:type="dxa" w:w="80"/>
              <w:right w:type="dxa" w:w="110"/>
            </w:tcMar>
          </w:tcPr>
          <w:p>
            <w:r>
              <w:rPr>
                <w:color w:val="231F29"/>
                <w:sz w:val="18"/>
                <w:szCs w:val="18"/>
              </w:rPr>
              <w:t xml:space="preserve">4</w:t>
            </w:r>
          </w:p>
        </w:tc>
        <w:tc>
          <w:tcPr>
            <w:tcW w:type="dxa" w:w="3400"/>
            <w:tcBorders>
              <w:bottom w:val="single" w:color="E3E0E6" w:sz="2"/>
            </w:tcBorders>
            <w:tcMar>
              <w:top w:type="dxa" w:w="80"/>
              <w:left w:type="dxa" w:w="110"/>
              <w:bottom w:type="dxa" w:w="80"/>
              <w:right w:type="dxa" w:w="110"/>
            </w:tcMar>
          </w:tcPr>
          <w:p>
            <w:r>
              <w:rPr>
                <w:color w:val="231F29"/>
                <w:sz w:val="18"/>
                <w:szCs w:val="18"/>
              </w:rPr>
              <w:t xml:space="preserve">Pilot alternate transport for haircare</w:t>
            </w:r>
          </w:p>
        </w:tc>
        <w:tc>
          <w:tcPr>
            <w:tcW w:type="dxa" w:w="1500"/>
            <w:tcBorders>
              <w:bottom w:val="single" w:color="E3E0E6" w:sz="2"/>
            </w:tcBorders>
            <w:tcMar>
              <w:top w:type="dxa" w:w="80"/>
              <w:left w:type="dxa" w:w="110"/>
              <w:bottom w:type="dxa" w:w="80"/>
              <w:right w:type="dxa" w:w="110"/>
            </w:tcMar>
          </w:tcPr>
          <w:p>
            <w:r>
              <w:rPr>
                <w:color w:val="231F29"/>
                <w:sz w:val="18"/>
                <w:szCs w:val="18"/>
              </w:rPr>
              <w:t xml:space="preserve">Medium</w:t>
            </w:r>
          </w:p>
        </w:tc>
        <w:tc>
          <w:tcPr>
            <w:tcW w:type="dxa" w:w="1700"/>
            <w:tcBorders>
              <w:bottom w:val="single" w:color="E3E0E6" w:sz="2"/>
            </w:tcBorders>
            <w:tcMar>
              <w:top w:type="dxa" w:w="80"/>
              <w:left w:type="dxa" w:w="110"/>
              <w:bottom w:type="dxa" w:w="80"/>
              <w:right w:type="dxa" w:w="110"/>
            </w:tcMar>
          </w:tcPr>
          <w:p>
            <w:r>
              <w:rPr>
                <w:color w:val="231F29"/>
                <w:sz w:val="18"/>
                <w:szCs w:val="18"/>
              </w:rPr>
              <w:t xml:space="preserve">1 quarter</w:t>
            </w:r>
          </w:p>
        </w:tc>
        <w:tc>
          <w:tcPr>
            <w:tcW w:type="dxa" w:w="2260"/>
            <w:tcBorders>
              <w:bottom w:val="single" w:color="E3E0E6" w:sz="2"/>
            </w:tcBorders>
            <w:tcMar>
              <w:top w:type="dxa" w:w="80"/>
              <w:left w:type="dxa" w:w="110"/>
              <w:bottom w:type="dxa" w:w="80"/>
              <w:right w:type="dxa" w:w="110"/>
            </w:tcMar>
          </w:tcPr>
          <w:p>
            <w:r>
              <w:rPr>
                <w:color w:val="231F29"/>
                <w:sz w:val="18"/>
                <w:szCs w:val="18"/>
              </w:rPr>
              <w:t xml:space="preserve">Logistics</w:t>
            </w:r>
          </w:p>
        </w:tc>
      </w:tr>
    </w:tbl>
    <w:p>
      <w:r>
        <w:br w:type="page"/>
      </w:r>
    </w:p>
    <w:p>
      <w:pPr>
        <w:pStyle w:val="Heading1"/>
        <w:spacing w:after="160" w:before="360"/>
      </w:pPr>
      <w:r>
        <w:rPr>
          <w:b/>
          <w:bCs/>
          <w:color w:val="231F29"/>
          <w:sz w:val="30"/>
          <w:szCs w:val="30"/>
        </w:rPr>
        <w:t xml:space="preserve">Appendix: Data Dictionary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B2730" w:val="clear"/>
            <w:tcMar>
              <w:top w:type="dxa" w:w="90"/>
              <w:left w:type="dxa" w:w="110"/>
              <w:bottom w:type="dxa" w:w="90"/>
              <w:right w:type="dxa" w:w="110"/>
            </w:tcMar>
          </w:tcPr>
          <w:p>
            <w:r>
              <w:rPr>
                <w:b/>
                <w:bCs/>
                <w:color w:val="FFFFFF"/>
                <w:sz w:val="18"/>
                <w:szCs w:val="18"/>
              </w:rPr>
              <w:t xml:space="preserve">Field</w:t>
            </w:r>
          </w:p>
        </w:tc>
        <w:tc>
          <w:tcPr>
            <w:tcW w:type="dxa" w:w="6240"/>
            <w:shd w:fill="2B2730" w:val="clear"/>
            <w:tcMar>
              <w:top w:type="dxa" w:w="90"/>
              <w:left w:type="dxa" w:w="110"/>
              <w:bottom w:type="dxa" w:w="90"/>
              <w:right w:type="dxa" w:w="110"/>
            </w:tcMar>
          </w:tcPr>
          <w:p>
            <w:r>
              <w:rPr>
                <w:b/>
                <w:bCs/>
                <w:color w:val="FFFFFF"/>
                <w:sz w:val="18"/>
                <w:szCs w:val="18"/>
              </w:rPr>
              <w:t xml:space="preserve">Definition</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Product type</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Product category: skincare, haircare, or cosmetics</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Price</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Unit retail price</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Revenue generated</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Price × Number of products sold</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Manufacturing costs</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Recorded per-unit cost to manufacture (see Section 4 caveat)</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Lead times</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Days from order placement to product availability</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Defect rates</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Percentage of units failing quality standards</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Stock-to-sales ratio</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Stock levels ÷ Number of products sold (derived)</w:t>
            </w:r>
          </w:p>
        </w:tc>
      </w:tr>
      <w:tr>
        <w:tc>
          <w:tcPr>
            <w:tcW w:type="dxa" w:w="3120"/>
            <w:tcBorders>
              <w:bottom w:val="single" w:color="E3E0E6" w:sz="2"/>
            </w:tcBorders>
            <w:tcMar>
              <w:top w:type="dxa" w:w="80"/>
              <w:left w:type="dxa" w:w="110"/>
              <w:bottom w:type="dxa" w:w="80"/>
              <w:right w:type="dxa" w:w="110"/>
            </w:tcMar>
          </w:tcPr>
          <w:p>
            <w:r>
              <w:rPr>
                <w:color w:val="231F29"/>
                <w:sz w:val="18"/>
                <w:szCs w:val="18"/>
              </w:rPr>
              <w:t xml:space="preserve">Profit (derived)</w:t>
            </w:r>
          </w:p>
        </w:tc>
        <w:tc>
          <w:tcPr>
            <w:tcW w:type="dxa" w:w="6240"/>
            <w:tcBorders>
              <w:bottom w:val="single" w:color="E3E0E6" w:sz="2"/>
            </w:tcBorders>
            <w:tcMar>
              <w:top w:type="dxa" w:w="80"/>
              <w:left w:type="dxa" w:w="110"/>
              <w:bottom w:type="dxa" w:w="80"/>
              <w:right w:type="dxa" w:w="110"/>
            </w:tcMar>
          </w:tcPr>
          <w:p>
            <w:r>
              <w:rPr>
                <w:color w:val="231F29"/>
                <w:sz w:val="18"/>
                <w:szCs w:val="18"/>
              </w:rPr>
              <w:t xml:space="preserve">Revenue − Manufacturing costs − Shipping costs − Total costs</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72"/>
        <w:sz w:val="16"/>
        <w:szCs w:val="16"/>
      </w:rPr>
      <w:t xml:space="preserve">Page </w:t>
    </w:r>
    <w:r>
      <w:rPr>
        <w:color w:val="6B65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572"/>
        <w:sz w:val="16"/>
        <w:szCs w:val="16"/>
      </w:rPr>
      <w:t xml:space="preserve">Supply Chain Diagnostic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1553be7b1b03cd2d01b38b4c0aa808c43ecb13.png"/><Relationship Id="rId10" Type="http://schemas.openxmlformats.org/officeDocument/2006/relationships/image" Target="media/067b3a8ff1f7b837952a342a1db8dce274bfe59b.png"/><Relationship Id="rId11" Type="http://schemas.openxmlformats.org/officeDocument/2006/relationships/image" Target="media/7c138c8a191c94baece737e92cf84fcfba4b89d0.png"/><Relationship Id="rId12" Type="http://schemas.openxmlformats.org/officeDocument/2006/relationships/image" Target="media/0679b7676958979812d481716e6420aaba6b2d99.png"/><Relationship Id="rId13" Type="http://schemas.openxmlformats.org/officeDocument/2006/relationships/image" Target="media/4418a1e01c966425e9d77f6a681689ea525c7ea8.png"/><Relationship Id="rId14" Type="http://schemas.openxmlformats.org/officeDocument/2006/relationships/image" Target="media/feced09e683bcdc9a90473007a9e059a7acb2c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2026-08-04T08:38:13.061Z</dcterms:created>
  <dcterms:modified xsi:type="dcterms:W3CDTF">2026-08-04T08:38:13.062Z</dcterms:modified>
</cp:coreProperties>
</file>

<file path=docProps/custom.xml><?xml version="1.0" encoding="utf-8"?>
<Properties xmlns="http://schemas.openxmlformats.org/officeDocument/2006/custom-properties" xmlns:vt="http://schemas.openxmlformats.org/officeDocument/2006/docPropsVTypes"/>
</file>