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— T3: G#2 - FIXED CODE - NO RANDOM 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Reads cluster_validation_summary.csv directly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grouped = pd.read_csv('cluster_validation_summary.csv')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print(grouped)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Keep same labels as before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labels = ['5-10', '10-20', '20-40', '40-60', '60+']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Plot - SAME as your original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plt.figure(figsize=(8,5))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plt.plot(labels, grouped['accuracy'], marker='o', linewidth=2.5, color='green')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plt.bar(labels, grouped['accuracy'], alpha=0.3, color='green')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i, row in grouped.iterrows():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plt.text(i, row['accuracy']+2, f"{row['accuracy']:.1f}%\n(n={row['count']})", ha='center', fontsize=9)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plt.title('G#2: AI Cluster Validation Accuracy vs Richness\n(1875 Classifications)')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plt.xlabel('Cluster Richness')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plt.ylabel('Validation Accuracy (% Real)')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plt.ylim(0, 100)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plt.grid(True, alpha=0.3)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plt.savefig('GraphC_Cluster_Richness_T3.png', dpi=300)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print("\nDone! Download GraphC_Cluster_Richness_T3.png from folder icon")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