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9BC96">
      <w:pPr>
        <w:pStyle w:val="36"/>
        <w:jc w:val="center"/>
        <w:rPr>
          <w:rFonts w:hint="default"/>
          <w:lang w:val="en-US"/>
        </w:rPr>
      </w:pPr>
      <w:r>
        <w:t>Supermart Grocery Sales</w:t>
      </w:r>
      <w:r>
        <w:rPr>
          <w:rFonts w:hint="default"/>
          <w:lang w:val="en-US"/>
        </w:rPr>
        <w:t xml:space="preserve"> Report-1</w:t>
      </w:r>
      <w:bookmarkStart w:id="0" w:name="_GoBack"/>
      <w:bookmarkEnd w:id="0"/>
    </w:p>
    <w:p w14:paraId="2B3C2175">
      <w:pPr>
        <w:jc w:val="center"/>
      </w:pPr>
      <w:r>
        <w:t>Retail Analytics Report | Data period: 2015–2018</w:t>
      </w:r>
    </w:p>
    <w:p w14:paraId="7E8B69DF">
      <w:r>
        <w:t>Prepared from the supplied Excel workbook. Amounts are shown in the dataset’s original units; no currency symbol was specified.</w:t>
      </w:r>
    </w:p>
    <w:p w14:paraId="109A9B77">
      <w:pPr>
        <w:pStyle w:val="2"/>
      </w:pPr>
      <w:r>
        <w:t>1. Executive Summary</w:t>
      </w:r>
    </w:p>
    <w:p w14:paraId="5D7F443C">
      <w:r>
        <w:t>The dataset contains 9,994 sales records covering 03 Jan 2015 to 30 Dec 2018. Total recorded sales were 14,956,982, with total profit of 3,747,121.20 and an overall profit margin of 25.05%. The strongest year by both sales and profit was 2018, while the West region generated the largest regional sales and profit totals.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6B5AEBD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EC9B738">
            <w:pPr>
              <w:spacing w:after="0" w:line="240" w:lineRule="auto"/>
              <w:rPr>
                <w:color w:val="376092" w:themeColor="accent1" w:themeShade="BF"/>
              </w:rPr>
            </w:pPr>
            <w:r>
              <w:rPr>
                <w:color w:val="376092" w:themeColor="accent1" w:themeShade="BF"/>
              </w:rPr>
              <w:t>Key metric</w:t>
            </w:r>
          </w:p>
        </w:tc>
        <w:tc>
          <w:tcPr>
            <w:tcW w:w="4320" w:type="dxa"/>
          </w:tcPr>
          <w:p w14:paraId="2639E4A1">
            <w:pPr>
              <w:spacing w:after="0" w:line="240" w:lineRule="auto"/>
              <w:rPr>
                <w:color w:val="376092" w:themeColor="accent1" w:themeShade="BF"/>
              </w:rPr>
            </w:pPr>
            <w:r>
              <w:rPr>
                <w:color w:val="376092" w:themeColor="accent1" w:themeShade="BF"/>
              </w:rPr>
              <w:t>Result</w:t>
            </w:r>
          </w:p>
        </w:tc>
      </w:tr>
      <w:tr w14:paraId="008986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27C2911">
            <w:pPr>
              <w:spacing w:after="0" w:line="240" w:lineRule="auto"/>
              <w:rPr>
                <w:color w:val="376092" w:themeColor="accent1" w:themeShade="BF"/>
              </w:rPr>
            </w:pPr>
            <w:r>
              <w:rPr>
                <w:color w:val="376092" w:themeColor="accent1" w:themeShade="BF"/>
              </w:rPr>
              <w:t>Sales records</w:t>
            </w:r>
          </w:p>
        </w:tc>
        <w:tc>
          <w:tcPr>
            <w:tcW w:w="4320" w:type="dxa"/>
          </w:tcPr>
          <w:p w14:paraId="093C4228">
            <w:pPr>
              <w:spacing w:after="0" w:line="240" w:lineRule="auto"/>
              <w:rPr>
                <w:color w:val="376092" w:themeColor="accent1" w:themeShade="BF"/>
              </w:rPr>
            </w:pPr>
            <w:r>
              <w:rPr>
                <w:color w:val="376092" w:themeColor="accent1" w:themeShade="BF"/>
              </w:rPr>
              <w:t>9,994</w:t>
            </w:r>
          </w:p>
        </w:tc>
      </w:tr>
      <w:tr w14:paraId="344811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BF5CF6F">
            <w:pPr>
              <w:spacing w:after="0" w:line="240" w:lineRule="auto"/>
              <w:rPr>
                <w:color w:val="376092" w:themeColor="accent1" w:themeShade="BF"/>
              </w:rPr>
            </w:pPr>
            <w:r>
              <w:rPr>
                <w:color w:val="376092" w:themeColor="accent1" w:themeShade="BF"/>
              </w:rPr>
              <w:t>Total sales</w:t>
            </w:r>
          </w:p>
        </w:tc>
        <w:tc>
          <w:tcPr>
            <w:tcW w:w="4320" w:type="dxa"/>
          </w:tcPr>
          <w:p w14:paraId="70B0BF36">
            <w:pPr>
              <w:spacing w:after="0" w:line="240" w:lineRule="auto"/>
              <w:rPr>
                <w:color w:val="376092" w:themeColor="accent1" w:themeShade="BF"/>
              </w:rPr>
            </w:pPr>
            <w:r>
              <w:rPr>
                <w:color w:val="376092" w:themeColor="accent1" w:themeShade="BF"/>
              </w:rPr>
              <w:t>14,956,982</w:t>
            </w:r>
          </w:p>
        </w:tc>
      </w:tr>
      <w:tr w14:paraId="0E6F985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449106AD">
            <w:pPr>
              <w:spacing w:after="0" w:line="240" w:lineRule="auto"/>
              <w:rPr>
                <w:color w:val="376092" w:themeColor="accent1" w:themeShade="BF"/>
              </w:rPr>
            </w:pPr>
            <w:r>
              <w:rPr>
                <w:color w:val="376092" w:themeColor="accent1" w:themeShade="BF"/>
              </w:rPr>
              <w:t>Total profit</w:t>
            </w:r>
          </w:p>
        </w:tc>
        <w:tc>
          <w:tcPr>
            <w:tcW w:w="4320" w:type="dxa"/>
          </w:tcPr>
          <w:p w14:paraId="36865489">
            <w:pPr>
              <w:spacing w:after="0" w:line="240" w:lineRule="auto"/>
              <w:rPr>
                <w:color w:val="376092" w:themeColor="accent1" w:themeShade="BF"/>
              </w:rPr>
            </w:pPr>
            <w:r>
              <w:rPr>
                <w:color w:val="376092" w:themeColor="accent1" w:themeShade="BF"/>
              </w:rPr>
              <w:t>3,747,121.20</w:t>
            </w:r>
          </w:p>
        </w:tc>
      </w:tr>
      <w:tr w14:paraId="36B5DDA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F73EBD3">
            <w:pPr>
              <w:spacing w:after="0" w:line="240" w:lineRule="auto"/>
              <w:rPr>
                <w:color w:val="376092" w:themeColor="accent1" w:themeShade="BF"/>
              </w:rPr>
            </w:pPr>
            <w:r>
              <w:rPr>
                <w:color w:val="376092" w:themeColor="accent1" w:themeShade="BF"/>
              </w:rPr>
              <w:t>Overall profit margin</w:t>
            </w:r>
          </w:p>
        </w:tc>
        <w:tc>
          <w:tcPr>
            <w:tcW w:w="4320" w:type="dxa"/>
          </w:tcPr>
          <w:p w14:paraId="573A5967">
            <w:pPr>
              <w:spacing w:after="0" w:line="240" w:lineRule="auto"/>
              <w:rPr>
                <w:color w:val="376092" w:themeColor="accent1" w:themeShade="BF"/>
              </w:rPr>
            </w:pPr>
            <w:r>
              <w:rPr>
                <w:color w:val="376092" w:themeColor="accent1" w:themeShade="BF"/>
              </w:rPr>
              <w:t>25.05%</w:t>
            </w:r>
          </w:p>
        </w:tc>
      </w:tr>
      <w:tr w14:paraId="6866E1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4B68BA82">
            <w:pPr>
              <w:spacing w:after="0" w:line="240" w:lineRule="auto"/>
              <w:rPr>
                <w:color w:val="376092" w:themeColor="accent1" w:themeShade="BF"/>
              </w:rPr>
            </w:pPr>
            <w:r>
              <w:rPr>
                <w:color w:val="376092" w:themeColor="accent1" w:themeShade="BF"/>
              </w:rPr>
              <w:t>Unique order IDs</w:t>
            </w:r>
          </w:p>
        </w:tc>
        <w:tc>
          <w:tcPr>
            <w:tcW w:w="4320" w:type="dxa"/>
          </w:tcPr>
          <w:p w14:paraId="607FF398">
            <w:pPr>
              <w:spacing w:after="0" w:line="240" w:lineRule="auto"/>
              <w:rPr>
                <w:color w:val="376092" w:themeColor="accent1" w:themeShade="BF"/>
              </w:rPr>
            </w:pPr>
            <w:r>
              <w:rPr>
                <w:color w:val="376092" w:themeColor="accent1" w:themeShade="BF"/>
              </w:rPr>
              <w:t>9,994</w:t>
            </w:r>
          </w:p>
        </w:tc>
      </w:tr>
      <w:tr w14:paraId="03791FD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9ACC1DB">
            <w:pPr>
              <w:spacing w:after="0" w:line="240" w:lineRule="auto"/>
              <w:rPr>
                <w:color w:val="376092" w:themeColor="accent1" w:themeShade="BF"/>
              </w:rPr>
            </w:pPr>
            <w:r>
              <w:rPr>
                <w:color w:val="376092" w:themeColor="accent1" w:themeShade="BF"/>
              </w:rPr>
              <w:t>Unique customer names</w:t>
            </w:r>
          </w:p>
        </w:tc>
        <w:tc>
          <w:tcPr>
            <w:tcW w:w="4320" w:type="dxa"/>
          </w:tcPr>
          <w:p w14:paraId="68BE343C">
            <w:pPr>
              <w:spacing w:after="0" w:line="240" w:lineRule="auto"/>
              <w:rPr>
                <w:color w:val="376092" w:themeColor="accent1" w:themeShade="BF"/>
              </w:rPr>
            </w:pPr>
            <w:r>
              <w:rPr>
                <w:color w:val="376092" w:themeColor="accent1" w:themeShade="BF"/>
              </w:rPr>
              <w:t>50</w:t>
            </w:r>
          </w:p>
        </w:tc>
      </w:tr>
      <w:tr w14:paraId="2E4606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4637151">
            <w:pPr>
              <w:spacing w:after="0" w:line="240" w:lineRule="auto"/>
              <w:rPr>
                <w:color w:val="376092" w:themeColor="accent1" w:themeShade="BF"/>
              </w:rPr>
            </w:pPr>
            <w:r>
              <w:rPr>
                <w:color w:val="376092" w:themeColor="accent1" w:themeShade="BF"/>
              </w:rPr>
              <w:t>Average sales per record</w:t>
            </w:r>
          </w:p>
        </w:tc>
        <w:tc>
          <w:tcPr>
            <w:tcW w:w="4320" w:type="dxa"/>
          </w:tcPr>
          <w:p w14:paraId="1925D165">
            <w:pPr>
              <w:spacing w:after="0" w:line="240" w:lineRule="auto"/>
              <w:rPr>
                <w:color w:val="376092" w:themeColor="accent1" w:themeShade="BF"/>
              </w:rPr>
            </w:pPr>
            <w:r>
              <w:rPr>
                <w:color w:val="376092" w:themeColor="accent1" w:themeShade="BF"/>
              </w:rPr>
              <w:t>1,496.60</w:t>
            </w:r>
          </w:p>
        </w:tc>
      </w:tr>
      <w:tr w14:paraId="6DF8A64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9CC09DB">
            <w:pPr>
              <w:spacing w:after="0" w:line="240" w:lineRule="auto"/>
              <w:rPr>
                <w:color w:val="376092" w:themeColor="accent1" w:themeShade="BF"/>
              </w:rPr>
            </w:pPr>
            <w:r>
              <w:rPr>
                <w:color w:val="376092" w:themeColor="accent1" w:themeShade="BF"/>
              </w:rPr>
              <w:t>Average discount value</w:t>
            </w:r>
          </w:p>
        </w:tc>
        <w:tc>
          <w:tcPr>
            <w:tcW w:w="4320" w:type="dxa"/>
          </w:tcPr>
          <w:p w14:paraId="2B6C7F26">
            <w:pPr>
              <w:spacing w:after="0" w:line="240" w:lineRule="auto"/>
              <w:rPr>
                <w:color w:val="376092" w:themeColor="accent1" w:themeShade="BF"/>
              </w:rPr>
            </w:pPr>
            <w:r>
              <w:rPr>
                <w:color w:val="376092" w:themeColor="accent1" w:themeShade="BF"/>
              </w:rPr>
              <w:t>0.227</w:t>
            </w:r>
          </w:p>
        </w:tc>
      </w:tr>
    </w:tbl>
    <w:p w14:paraId="59A467FA">
      <w:pPr>
        <w:pStyle w:val="2"/>
      </w:pPr>
      <w:r>
        <w:t>2. Yearly Performance</w:t>
      </w:r>
    </w:p>
    <w:p w14:paraId="4229739D">
      <w:r>
        <w:drawing>
          <wp:inline distT="0" distB="0" distL="114300" distR="114300">
            <wp:extent cx="585216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52160" cy="3291840"/>
                    </a:xfrm>
                    <a:prstGeom prst="rect">
                      <a:avLst/>
                    </a:prstGeom>
                  </pic:spPr>
                </pic:pic>
              </a:graphicData>
            </a:graphic>
          </wp:inline>
        </w:drawing>
      </w:r>
    </w:p>
    <w:p w14:paraId="51A8AD52">
      <w:r>
        <w:t>Sales increased from 2,975,599 in 2015 to 4,977,512 in 2018, a rise of 67.3%. Profit also rose from 752,529.11 to 1,244,182.88. The 2018 sales total was the highest in the period.</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5BA0136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A6DBAB6">
            <w:pPr>
              <w:spacing w:after="0" w:line="240" w:lineRule="auto"/>
              <w:rPr>
                <w:color w:val="376092" w:themeColor="accent1" w:themeShade="BF"/>
              </w:rPr>
            </w:pPr>
            <w:r>
              <w:rPr>
                <w:color w:val="376092" w:themeColor="accent1" w:themeShade="BF"/>
              </w:rPr>
              <w:t>Year</w:t>
            </w:r>
          </w:p>
        </w:tc>
        <w:tc>
          <w:tcPr>
            <w:tcW w:w="2160" w:type="dxa"/>
          </w:tcPr>
          <w:p w14:paraId="22B16688">
            <w:pPr>
              <w:spacing w:after="0" w:line="240" w:lineRule="auto"/>
              <w:rPr>
                <w:color w:val="376092" w:themeColor="accent1" w:themeShade="BF"/>
              </w:rPr>
            </w:pPr>
            <w:r>
              <w:rPr>
                <w:color w:val="376092" w:themeColor="accent1" w:themeShade="BF"/>
              </w:rPr>
              <w:t>Sales</w:t>
            </w:r>
          </w:p>
        </w:tc>
        <w:tc>
          <w:tcPr>
            <w:tcW w:w="2160" w:type="dxa"/>
          </w:tcPr>
          <w:p w14:paraId="39AC1A78">
            <w:pPr>
              <w:spacing w:after="0" w:line="240" w:lineRule="auto"/>
              <w:rPr>
                <w:color w:val="376092" w:themeColor="accent1" w:themeShade="BF"/>
              </w:rPr>
            </w:pPr>
            <w:r>
              <w:rPr>
                <w:color w:val="376092" w:themeColor="accent1" w:themeShade="BF"/>
              </w:rPr>
              <w:t>Profit</w:t>
            </w:r>
          </w:p>
        </w:tc>
        <w:tc>
          <w:tcPr>
            <w:tcW w:w="2160" w:type="dxa"/>
          </w:tcPr>
          <w:p w14:paraId="2C6CEEB8">
            <w:pPr>
              <w:spacing w:after="0" w:line="240" w:lineRule="auto"/>
              <w:rPr>
                <w:color w:val="376092" w:themeColor="accent1" w:themeShade="BF"/>
              </w:rPr>
            </w:pPr>
            <w:r>
              <w:rPr>
                <w:color w:val="376092" w:themeColor="accent1" w:themeShade="BF"/>
              </w:rPr>
              <w:t>Records</w:t>
            </w:r>
          </w:p>
        </w:tc>
      </w:tr>
      <w:tr w14:paraId="43E6860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0F9BC943">
            <w:pPr>
              <w:spacing w:after="0" w:line="240" w:lineRule="auto"/>
              <w:rPr>
                <w:color w:val="376092" w:themeColor="accent1" w:themeShade="BF"/>
              </w:rPr>
            </w:pPr>
            <w:r>
              <w:rPr>
                <w:color w:val="376092" w:themeColor="accent1" w:themeShade="BF"/>
              </w:rPr>
              <w:t>2015</w:t>
            </w:r>
          </w:p>
        </w:tc>
        <w:tc>
          <w:tcPr>
            <w:tcW w:w="2160" w:type="dxa"/>
          </w:tcPr>
          <w:p w14:paraId="62CD17EC">
            <w:pPr>
              <w:spacing w:after="0" w:line="240" w:lineRule="auto"/>
              <w:rPr>
                <w:color w:val="376092" w:themeColor="accent1" w:themeShade="BF"/>
              </w:rPr>
            </w:pPr>
            <w:r>
              <w:rPr>
                <w:color w:val="376092" w:themeColor="accent1" w:themeShade="BF"/>
              </w:rPr>
              <w:t>2,975,599</w:t>
            </w:r>
          </w:p>
        </w:tc>
        <w:tc>
          <w:tcPr>
            <w:tcW w:w="2160" w:type="dxa"/>
          </w:tcPr>
          <w:p w14:paraId="51D966E3">
            <w:pPr>
              <w:spacing w:after="0" w:line="240" w:lineRule="auto"/>
              <w:rPr>
                <w:color w:val="376092" w:themeColor="accent1" w:themeShade="BF"/>
              </w:rPr>
            </w:pPr>
            <w:r>
              <w:rPr>
                <w:color w:val="376092" w:themeColor="accent1" w:themeShade="BF"/>
              </w:rPr>
              <w:t>752,529.11</w:t>
            </w:r>
          </w:p>
        </w:tc>
        <w:tc>
          <w:tcPr>
            <w:tcW w:w="2160" w:type="dxa"/>
          </w:tcPr>
          <w:p w14:paraId="54ABBE3B">
            <w:pPr>
              <w:spacing w:after="0" w:line="240" w:lineRule="auto"/>
              <w:rPr>
                <w:color w:val="376092" w:themeColor="accent1" w:themeShade="BF"/>
              </w:rPr>
            </w:pPr>
            <w:r>
              <w:rPr>
                <w:color w:val="376092" w:themeColor="accent1" w:themeShade="BF"/>
              </w:rPr>
              <w:t>1,993</w:t>
            </w:r>
          </w:p>
        </w:tc>
      </w:tr>
      <w:tr w14:paraId="104565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39EC89AB">
            <w:pPr>
              <w:spacing w:after="0" w:line="240" w:lineRule="auto"/>
              <w:rPr>
                <w:color w:val="376092" w:themeColor="accent1" w:themeShade="BF"/>
              </w:rPr>
            </w:pPr>
            <w:r>
              <w:rPr>
                <w:color w:val="376092" w:themeColor="accent1" w:themeShade="BF"/>
              </w:rPr>
              <w:t>2016</w:t>
            </w:r>
          </w:p>
        </w:tc>
        <w:tc>
          <w:tcPr>
            <w:tcW w:w="2160" w:type="dxa"/>
          </w:tcPr>
          <w:p w14:paraId="782DA72A">
            <w:pPr>
              <w:spacing w:after="0" w:line="240" w:lineRule="auto"/>
              <w:rPr>
                <w:color w:val="376092" w:themeColor="accent1" w:themeShade="BF"/>
              </w:rPr>
            </w:pPr>
            <w:r>
              <w:rPr>
                <w:color w:val="376092" w:themeColor="accent1" w:themeShade="BF"/>
              </w:rPr>
              <w:t>3,131,959</w:t>
            </w:r>
          </w:p>
        </w:tc>
        <w:tc>
          <w:tcPr>
            <w:tcW w:w="2160" w:type="dxa"/>
          </w:tcPr>
          <w:p w14:paraId="3E7307EA">
            <w:pPr>
              <w:spacing w:after="0" w:line="240" w:lineRule="auto"/>
              <w:rPr>
                <w:color w:val="376092" w:themeColor="accent1" w:themeShade="BF"/>
              </w:rPr>
            </w:pPr>
            <w:r>
              <w:rPr>
                <w:color w:val="376092" w:themeColor="accent1" w:themeShade="BF"/>
              </w:rPr>
              <w:t>797,192.99</w:t>
            </w:r>
          </w:p>
        </w:tc>
        <w:tc>
          <w:tcPr>
            <w:tcW w:w="2160" w:type="dxa"/>
          </w:tcPr>
          <w:p w14:paraId="15E8F511">
            <w:pPr>
              <w:spacing w:after="0" w:line="240" w:lineRule="auto"/>
              <w:rPr>
                <w:color w:val="376092" w:themeColor="accent1" w:themeShade="BF"/>
              </w:rPr>
            </w:pPr>
            <w:r>
              <w:rPr>
                <w:color w:val="376092" w:themeColor="accent1" w:themeShade="BF"/>
              </w:rPr>
              <w:t>2,102</w:t>
            </w:r>
          </w:p>
        </w:tc>
      </w:tr>
      <w:tr w14:paraId="3DFDBF8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03C73E54">
            <w:pPr>
              <w:spacing w:after="0" w:line="240" w:lineRule="auto"/>
              <w:rPr>
                <w:color w:val="376092" w:themeColor="accent1" w:themeShade="BF"/>
              </w:rPr>
            </w:pPr>
            <w:r>
              <w:rPr>
                <w:color w:val="376092" w:themeColor="accent1" w:themeShade="BF"/>
              </w:rPr>
              <w:t>2017</w:t>
            </w:r>
          </w:p>
        </w:tc>
        <w:tc>
          <w:tcPr>
            <w:tcW w:w="2160" w:type="dxa"/>
          </w:tcPr>
          <w:p w14:paraId="314863C9">
            <w:pPr>
              <w:spacing w:after="0" w:line="240" w:lineRule="auto"/>
              <w:rPr>
                <w:color w:val="376092" w:themeColor="accent1" w:themeShade="BF"/>
              </w:rPr>
            </w:pPr>
            <w:r>
              <w:rPr>
                <w:color w:val="376092" w:themeColor="accent1" w:themeShade="BF"/>
              </w:rPr>
              <w:t>3,871,912</w:t>
            </w:r>
          </w:p>
        </w:tc>
        <w:tc>
          <w:tcPr>
            <w:tcW w:w="2160" w:type="dxa"/>
          </w:tcPr>
          <w:p w14:paraId="0F6BCA87">
            <w:pPr>
              <w:spacing w:after="0" w:line="240" w:lineRule="auto"/>
              <w:rPr>
                <w:color w:val="376092" w:themeColor="accent1" w:themeShade="BF"/>
              </w:rPr>
            </w:pPr>
            <w:r>
              <w:rPr>
                <w:color w:val="376092" w:themeColor="accent1" w:themeShade="BF"/>
              </w:rPr>
              <w:t>953,216.22</w:t>
            </w:r>
          </w:p>
        </w:tc>
        <w:tc>
          <w:tcPr>
            <w:tcW w:w="2160" w:type="dxa"/>
          </w:tcPr>
          <w:p w14:paraId="1D82915A">
            <w:pPr>
              <w:spacing w:after="0" w:line="240" w:lineRule="auto"/>
              <w:rPr>
                <w:color w:val="376092" w:themeColor="accent1" w:themeShade="BF"/>
              </w:rPr>
            </w:pPr>
            <w:r>
              <w:rPr>
                <w:color w:val="376092" w:themeColor="accent1" w:themeShade="BF"/>
              </w:rPr>
              <w:t>2,587</w:t>
            </w:r>
          </w:p>
        </w:tc>
      </w:tr>
      <w:tr w14:paraId="0047A55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EB26FF2">
            <w:pPr>
              <w:spacing w:after="0" w:line="240" w:lineRule="auto"/>
              <w:rPr>
                <w:color w:val="376092" w:themeColor="accent1" w:themeShade="BF"/>
              </w:rPr>
            </w:pPr>
            <w:r>
              <w:rPr>
                <w:color w:val="376092" w:themeColor="accent1" w:themeShade="BF"/>
              </w:rPr>
              <w:t>2018</w:t>
            </w:r>
          </w:p>
        </w:tc>
        <w:tc>
          <w:tcPr>
            <w:tcW w:w="2160" w:type="dxa"/>
          </w:tcPr>
          <w:p w14:paraId="6E6EF134">
            <w:pPr>
              <w:spacing w:after="0" w:line="240" w:lineRule="auto"/>
              <w:rPr>
                <w:color w:val="376092" w:themeColor="accent1" w:themeShade="BF"/>
              </w:rPr>
            </w:pPr>
            <w:r>
              <w:rPr>
                <w:color w:val="376092" w:themeColor="accent1" w:themeShade="BF"/>
              </w:rPr>
              <w:t>4,977,512</w:t>
            </w:r>
          </w:p>
        </w:tc>
        <w:tc>
          <w:tcPr>
            <w:tcW w:w="2160" w:type="dxa"/>
          </w:tcPr>
          <w:p w14:paraId="51CB9658">
            <w:pPr>
              <w:spacing w:after="0" w:line="240" w:lineRule="auto"/>
              <w:rPr>
                <w:color w:val="376092" w:themeColor="accent1" w:themeShade="BF"/>
              </w:rPr>
            </w:pPr>
            <w:r>
              <w:rPr>
                <w:color w:val="376092" w:themeColor="accent1" w:themeShade="BF"/>
              </w:rPr>
              <w:t>1,244,182.88</w:t>
            </w:r>
          </w:p>
        </w:tc>
        <w:tc>
          <w:tcPr>
            <w:tcW w:w="2160" w:type="dxa"/>
          </w:tcPr>
          <w:p w14:paraId="4ECC5FE6">
            <w:pPr>
              <w:spacing w:after="0" w:line="240" w:lineRule="auto"/>
              <w:rPr>
                <w:color w:val="376092" w:themeColor="accent1" w:themeShade="BF"/>
              </w:rPr>
            </w:pPr>
            <w:r>
              <w:rPr>
                <w:color w:val="376092" w:themeColor="accent1" w:themeShade="BF"/>
              </w:rPr>
              <w:t>3,312</w:t>
            </w:r>
          </w:p>
        </w:tc>
      </w:tr>
    </w:tbl>
    <w:p w14:paraId="7741ED29">
      <w:pPr>
        <w:pStyle w:val="2"/>
      </w:pPr>
      <w:r>
        <w:t>3. Category Performance</w:t>
      </w:r>
    </w:p>
    <w:p w14:paraId="32B99764">
      <w:r>
        <w:drawing>
          <wp:inline distT="0" distB="0" distL="114300" distR="114300">
            <wp:extent cx="58521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52160" cy="3291840"/>
                    </a:xfrm>
                    <a:prstGeom prst="rect">
                      <a:avLst/>
                    </a:prstGeom>
                  </pic:spPr>
                </pic:pic>
              </a:graphicData>
            </a:graphic>
          </wp:inline>
        </w:drawing>
      </w:r>
    </w:p>
    <w:p w14:paraId="7907E65D">
      <w:r>
        <w:t>Eggs, Meat &amp; Fish recorded the highest category sales (2,267,401). Snacks generated the highest category profit (568,178.85). Snacks had the strongest category profit margin (25.39%), while Oil &amp; Masala had the lowest (24.43%). Category margins are relatively close overall, so comparing absolute profit alongside margin is useful.</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7DFFED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670437EF">
            <w:pPr>
              <w:spacing w:after="0" w:line="240" w:lineRule="auto"/>
              <w:rPr>
                <w:color w:val="376092" w:themeColor="accent1" w:themeShade="BF"/>
              </w:rPr>
            </w:pPr>
            <w:r>
              <w:rPr>
                <w:color w:val="376092" w:themeColor="accent1" w:themeShade="BF"/>
              </w:rPr>
              <w:t>Category</w:t>
            </w:r>
          </w:p>
        </w:tc>
        <w:tc>
          <w:tcPr>
            <w:tcW w:w="2160" w:type="dxa"/>
          </w:tcPr>
          <w:p w14:paraId="077C4122">
            <w:pPr>
              <w:spacing w:after="0" w:line="240" w:lineRule="auto"/>
              <w:rPr>
                <w:color w:val="376092" w:themeColor="accent1" w:themeShade="BF"/>
              </w:rPr>
            </w:pPr>
            <w:r>
              <w:rPr>
                <w:color w:val="376092" w:themeColor="accent1" w:themeShade="BF"/>
              </w:rPr>
              <w:t>Sales</w:t>
            </w:r>
          </w:p>
        </w:tc>
        <w:tc>
          <w:tcPr>
            <w:tcW w:w="2160" w:type="dxa"/>
          </w:tcPr>
          <w:p w14:paraId="47C351D4">
            <w:pPr>
              <w:spacing w:after="0" w:line="240" w:lineRule="auto"/>
              <w:rPr>
                <w:color w:val="376092" w:themeColor="accent1" w:themeShade="BF"/>
              </w:rPr>
            </w:pPr>
            <w:r>
              <w:rPr>
                <w:color w:val="376092" w:themeColor="accent1" w:themeShade="BF"/>
              </w:rPr>
              <w:t>Profit</w:t>
            </w:r>
          </w:p>
        </w:tc>
        <w:tc>
          <w:tcPr>
            <w:tcW w:w="2160" w:type="dxa"/>
          </w:tcPr>
          <w:p w14:paraId="10573AA5">
            <w:pPr>
              <w:spacing w:after="0" w:line="240" w:lineRule="auto"/>
              <w:rPr>
                <w:color w:val="376092" w:themeColor="accent1" w:themeShade="BF"/>
              </w:rPr>
            </w:pPr>
            <w:r>
              <w:rPr>
                <w:color w:val="376092" w:themeColor="accent1" w:themeShade="BF"/>
              </w:rPr>
              <w:t>Margin %</w:t>
            </w:r>
          </w:p>
        </w:tc>
      </w:tr>
      <w:tr w14:paraId="288CA03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38F8C84F">
            <w:pPr>
              <w:spacing w:after="0" w:line="240" w:lineRule="auto"/>
              <w:rPr>
                <w:color w:val="376092" w:themeColor="accent1" w:themeShade="BF"/>
              </w:rPr>
            </w:pPr>
            <w:r>
              <w:rPr>
                <w:color w:val="376092" w:themeColor="accent1" w:themeShade="BF"/>
              </w:rPr>
              <w:t>Eggs, Meat &amp; Fish</w:t>
            </w:r>
          </w:p>
        </w:tc>
        <w:tc>
          <w:tcPr>
            <w:tcW w:w="2160" w:type="dxa"/>
          </w:tcPr>
          <w:p w14:paraId="032B8DCE">
            <w:pPr>
              <w:spacing w:after="0" w:line="240" w:lineRule="auto"/>
              <w:rPr>
                <w:color w:val="376092" w:themeColor="accent1" w:themeShade="BF"/>
              </w:rPr>
            </w:pPr>
            <w:r>
              <w:rPr>
                <w:color w:val="376092" w:themeColor="accent1" w:themeShade="BF"/>
              </w:rPr>
              <w:t>2,267,401</w:t>
            </w:r>
          </w:p>
        </w:tc>
        <w:tc>
          <w:tcPr>
            <w:tcW w:w="2160" w:type="dxa"/>
          </w:tcPr>
          <w:p w14:paraId="45E9A444">
            <w:pPr>
              <w:spacing w:after="0" w:line="240" w:lineRule="auto"/>
              <w:rPr>
                <w:color w:val="376092" w:themeColor="accent1" w:themeShade="BF"/>
              </w:rPr>
            </w:pPr>
            <w:r>
              <w:rPr>
                <w:color w:val="376092" w:themeColor="accent1" w:themeShade="BF"/>
              </w:rPr>
              <w:t>567,357.22</w:t>
            </w:r>
          </w:p>
        </w:tc>
        <w:tc>
          <w:tcPr>
            <w:tcW w:w="2160" w:type="dxa"/>
          </w:tcPr>
          <w:p w14:paraId="46984CD0">
            <w:pPr>
              <w:spacing w:after="0" w:line="240" w:lineRule="auto"/>
              <w:rPr>
                <w:color w:val="376092" w:themeColor="accent1" w:themeShade="BF"/>
              </w:rPr>
            </w:pPr>
            <w:r>
              <w:rPr>
                <w:color w:val="376092" w:themeColor="accent1" w:themeShade="BF"/>
              </w:rPr>
              <w:t>25.02%</w:t>
            </w:r>
          </w:p>
        </w:tc>
      </w:tr>
      <w:tr w14:paraId="10AAE1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0E643F6B">
            <w:pPr>
              <w:spacing w:after="0" w:line="240" w:lineRule="auto"/>
              <w:rPr>
                <w:color w:val="376092" w:themeColor="accent1" w:themeShade="BF"/>
              </w:rPr>
            </w:pPr>
            <w:r>
              <w:rPr>
                <w:color w:val="376092" w:themeColor="accent1" w:themeShade="BF"/>
              </w:rPr>
              <w:t>Snacks</w:t>
            </w:r>
          </w:p>
        </w:tc>
        <w:tc>
          <w:tcPr>
            <w:tcW w:w="2160" w:type="dxa"/>
          </w:tcPr>
          <w:p w14:paraId="2D7EA24D">
            <w:pPr>
              <w:spacing w:after="0" w:line="240" w:lineRule="auto"/>
              <w:rPr>
                <w:color w:val="376092" w:themeColor="accent1" w:themeShade="BF"/>
              </w:rPr>
            </w:pPr>
            <w:r>
              <w:rPr>
                <w:color w:val="376092" w:themeColor="accent1" w:themeShade="BF"/>
              </w:rPr>
              <w:t>2,237,546</w:t>
            </w:r>
          </w:p>
        </w:tc>
        <w:tc>
          <w:tcPr>
            <w:tcW w:w="2160" w:type="dxa"/>
          </w:tcPr>
          <w:p w14:paraId="216F6174">
            <w:pPr>
              <w:spacing w:after="0" w:line="240" w:lineRule="auto"/>
              <w:rPr>
                <w:color w:val="376092" w:themeColor="accent1" w:themeShade="BF"/>
              </w:rPr>
            </w:pPr>
            <w:r>
              <w:rPr>
                <w:color w:val="376092" w:themeColor="accent1" w:themeShade="BF"/>
              </w:rPr>
              <w:t>568,178.85</w:t>
            </w:r>
          </w:p>
        </w:tc>
        <w:tc>
          <w:tcPr>
            <w:tcW w:w="2160" w:type="dxa"/>
          </w:tcPr>
          <w:p w14:paraId="37F3621D">
            <w:pPr>
              <w:spacing w:after="0" w:line="240" w:lineRule="auto"/>
              <w:rPr>
                <w:color w:val="376092" w:themeColor="accent1" w:themeShade="BF"/>
              </w:rPr>
            </w:pPr>
            <w:r>
              <w:rPr>
                <w:color w:val="376092" w:themeColor="accent1" w:themeShade="BF"/>
              </w:rPr>
              <w:t>25.39%</w:t>
            </w:r>
          </w:p>
        </w:tc>
      </w:tr>
      <w:tr w14:paraId="4B2D21C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60B5B8BD">
            <w:pPr>
              <w:spacing w:after="0" w:line="240" w:lineRule="auto"/>
              <w:rPr>
                <w:color w:val="376092" w:themeColor="accent1" w:themeShade="BF"/>
              </w:rPr>
            </w:pPr>
            <w:r>
              <w:rPr>
                <w:color w:val="376092" w:themeColor="accent1" w:themeShade="BF"/>
              </w:rPr>
              <w:t>Food Grains</w:t>
            </w:r>
          </w:p>
        </w:tc>
        <w:tc>
          <w:tcPr>
            <w:tcW w:w="2160" w:type="dxa"/>
          </w:tcPr>
          <w:p w14:paraId="1D503970">
            <w:pPr>
              <w:spacing w:after="0" w:line="240" w:lineRule="auto"/>
              <w:rPr>
                <w:color w:val="376092" w:themeColor="accent1" w:themeShade="BF"/>
              </w:rPr>
            </w:pPr>
            <w:r>
              <w:rPr>
                <w:color w:val="376092" w:themeColor="accent1" w:themeShade="BF"/>
              </w:rPr>
              <w:t>2,115,272</w:t>
            </w:r>
          </w:p>
        </w:tc>
        <w:tc>
          <w:tcPr>
            <w:tcW w:w="2160" w:type="dxa"/>
          </w:tcPr>
          <w:p w14:paraId="3E7E2878">
            <w:pPr>
              <w:spacing w:after="0" w:line="240" w:lineRule="auto"/>
              <w:rPr>
                <w:color w:val="376092" w:themeColor="accent1" w:themeShade="BF"/>
              </w:rPr>
            </w:pPr>
            <w:r>
              <w:rPr>
                <w:color w:val="376092" w:themeColor="accent1" w:themeShade="BF"/>
              </w:rPr>
              <w:t>529,162.64</w:t>
            </w:r>
          </w:p>
        </w:tc>
        <w:tc>
          <w:tcPr>
            <w:tcW w:w="2160" w:type="dxa"/>
          </w:tcPr>
          <w:p w14:paraId="67E7E229">
            <w:pPr>
              <w:spacing w:after="0" w:line="240" w:lineRule="auto"/>
              <w:rPr>
                <w:color w:val="376092" w:themeColor="accent1" w:themeShade="BF"/>
              </w:rPr>
            </w:pPr>
            <w:r>
              <w:rPr>
                <w:color w:val="376092" w:themeColor="accent1" w:themeShade="BF"/>
              </w:rPr>
              <w:t>25.02%</w:t>
            </w:r>
          </w:p>
        </w:tc>
      </w:tr>
      <w:tr w14:paraId="1A40AD2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E331EFD">
            <w:pPr>
              <w:spacing w:after="0" w:line="240" w:lineRule="auto"/>
              <w:rPr>
                <w:color w:val="376092" w:themeColor="accent1" w:themeShade="BF"/>
              </w:rPr>
            </w:pPr>
            <w:r>
              <w:rPr>
                <w:color w:val="376092" w:themeColor="accent1" w:themeShade="BF"/>
              </w:rPr>
              <w:t>Bakery</w:t>
            </w:r>
          </w:p>
        </w:tc>
        <w:tc>
          <w:tcPr>
            <w:tcW w:w="2160" w:type="dxa"/>
          </w:tcPr>
          <w:p w14:paraId="4C62AB61">
            <w:pPr>
              <w:spacing w:after="0" w:line="240" w:lineRule="auto"/>
              <w:rPr>
                <w:color w:val="376092" w:themeColor="accent1" w:themeShade="BF"/>
              </w:rPr>
            </w:pPr>
            <w:r>
              <w:rPr>
                <w:color w:val="376092" w:themeColor="accent1" w:themeShade="BF"/>
              </w:rPr>
              <w:t>2,112,281</w:t>
            </w:r>
          </w:p>
        </w:tc>
        <w:tc>
          <w:tcPr>
            <w:tcW w:w="2160" w:type="dxa"/>
          </w:tcPr>
          <w:p w14:paraId="1EAA3FAE">
            <w:pPr>
              <w:spacing w:after="0" w:line="240" w:lineRule="auto"/>
              <w:rPr>
                <w:color w:val="376092" w:themeColor="accent1" w:themeShade="BF"/>
              </w:rPr>
            </w:pPr>
            <w:r>
              <w:rPr>
                <w:color w:val="376092" w:themeColor="accent1" w:themeShade="BF"/>
              </w:rPr>
              <w:t>528,521.06</w:t>
            </w:r>
          </w:p>
        </w:tc>
        <w:tc>
          <w:tcPr>
            <w:tcW w:w="2160" w:type="dxa"/>
          </w:tcPr>
          <w:p w14:paraId="30AEFACA">
            <w:pPr>
              <w:spacing w:after="0" w:line="240" w:lineRule="auto"/>
              <w:rPr>
                <w:color w:val="376092" w:themeColor="accent1" w:themeShade="BF"/>
              </w:rPr>
            </w:pPr>
            <w:r>
              <w:rPr>
                <w:color w:val="376092" w:themeColor="accent1" w:themeShade="BF"/>
              </w:rPr>
              <w:t>25.02%</w:t>
            </w:r>
          </w:p>
        </w:tc>
      </w:tr>
      <w:tr w14:paraId="5822413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475AC6C">
            <w:pPr>
              <w:spacing w:after="0" w:line="240" w:lineRule="auto"/>
              <w:rPr>
                <w:color w:val="376092" w:themeColor="accent1" w:themeShade="BF"/>
              </w:rPr>
            </w:pPr>
            <w:r>
              <w:rPr>
                <w:color w:val="376092" w:themeColor="accent1" w:themeShade="BF"/>
              </w:rPr>
              <w:t>Fruits &amp; Veggies</w:t>
            </w:r>
          </w:p>
        </w:tc>
        <w:tc>
          <w:tcPr>
            <w:tcW w:w="2160" w:type="dxa"/>
          </w:tcPr>
          <w:p w14:paraId="2BF27F62">
            <w:pPr>
              <w:spacing w:after="0" w:line="240" w:lineRule="auto"/>
              <w:rPr>
                <w:color w:val="376092" w:themeColor="accent1" w:themeShade="BF"/>
              </w:rPr>
            </w:pPr>
            <w:r>
              <w:rPr>
                <w:color w:val="376092" w:themeColor="accent1" w:themeShade="BF"/>
              </w:rPr>
              <w:t>2,100,727</w:t>
            </w:r>
          </w:p>
        </w:tc>
        <w:tc>
          <w:tcPr>
            <w:tcW w:w="2160" w:type="dxa"/>
          </w:tcPr>
          <w:p w14:paraId="3E9283A9">
            <w:pPr>
              <w:spacing w:after="0" w:line="240" w:lineRule="auto"/>
              <w:rPr>
                <w:color w:val="376092" w:themeColor="accent1" w:themeShade="BF"/>
              </w:rPr>
            </w:pPr>
            <w:r>
              <w:rPr>
                <w:color w:val="376092" w:themeColor="accent1" w:themeShade="BF"/>
              </w:rPr>
              <w:t>530,400.38</w:t>
            </w:r>
          </w:p>
        </w:tc>
        <w:tc>
          <w:tcPr>
            <w:tcW w:w="2160" w:type="dxa"/>
          </w:tcPr>
          <w:p w14:paraId="21B79843">
            <w:pPr>
              <w:spacing w:after="0" w:line="240" w:lineRule="auto"/>
              <w:rPr>
                <w:color w:val="376092" w:themeColor="accent1" w:themeShade="BF"/>
              </w:rPr>
            </w:pPr>
            <w:r>
              <w:rPr>
                <w:color w:val="376092" w:themeColor="accent1" w:themeShade="BF"/>
              </w:rPr>
              <w:t>25.25%</w:t>
            </w:r>
          </w:p>
        </w:tc>
      </w:tr>
      <w:tr w14:paraId="53CBB42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6EB489AA">
            <w:pPr>
              <w:spacing w:after="0" w:line="240" w:lineRule="auto"/>
              <w:rPr>
                <w:color w:val="376092" w:themeColor="accent1" w:themeShade="BF"/>
              </w:rPr>
            </w:pPr>
            <w:r>
              <w:rPr>
                <w:color w:val="376092" w:themeColor="accent1" w:themeShade="BF"/>
              </w:rPr>
              <w:t>Beverages</w:t>
            </w:r>
          </w:p>
        </w:tc>
        <w:tc>
          <w:tcPr>
            <w:tcW w:w="2160" w:type="dxa"/>
          </w:tcPr>
          <w:p w14:paraId="4D324388">
            <w:pPr>
              <w:spacing w:after="0" w:line="240" w:lineRule="auto"/>
              <w:rPr>
                <w:color w:val="376092" w:themeColor="accent1" w:themeShade="BF"/>
              </w:rPr>
            </w:pPr>
            <w:r>
              <w:rPr>
                <w:color w:val="376092" w:themeColor="accent1" w:themeShade="BF"/>
              </w:rPr>
              <w:t>2,085,313</w:t>
            </w:r>
          </w:p>
        </w:tc>
        <w:tc>
          <w:tcPr>
            <w:tcW w:w="2160" w:type="dxa"/>
          </w:tcPr>
          <w:p w14:paraId="48C5C518">
            <w:pPr>
              <w:spacing w:after="0" w:line="240" w:lineRule="auto"/>
              <w:rPr>
                <w:color w:val="376092" w:themeColor="accent1" w:themeShade="BF"/>
              </w:rPr>
            </w:pPr>
            <w:r>
              <w:rPr>
                <w:color w:val="376092" w:themeColor="accent1" w:themeShade="BF"/>
              </w:rPr>
              <w:t>525,605.76</w:t>
            </w:r>
          </w:p>
        </w:tc>
        <w:tc>
          <w:tcPr>
            <w:tcW w:w="2160" w:type="dxa"/>
          </w:tcPr>
          <w:p w14:paraId="01ABEAD2">
            <w:pPr>
              <w:spacing w:after="0" w:line="240" w:lineRule="auto"/>
              <w:rPr>
                <w:color w:val="376092" w:themeColor="accent1" w:themeShade="BF"/>
              </w:rPr>
            </w:pPr>
            <w:r>
              <w:rPr>
                <w:color w:val="376092" w:themeColor="accent1" w:themeShade="BF"/>
              </w:rPr>
              <w:t>25.21%</w:t>
            </w:r>
          </w:p>
        </w:tc>
      </w:tr>
      <w:tr w14:paraId="60AC611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3223FFAF">
            <w:pPr>
              <w:spacing w:after="0" w:line="240" w:lineRule="auto"/>
              <w:rPr>
                <w:color w:val="376092" w:themeColor="accent1" w:themeShade="BF"/>
              </w:rPr>
            </w:pPr>
            <w:r>
              <w:rPr>
                <w:color w:val="376092" w:themeColor="accent1" w:themeShade="BF"/>
              </w:rPr>
              <w:t>Oil &amp; Masala</w:t>
            </w:r>
          </w:p>
        </w:tc>
        <w:tc>
          <w:tcPr>
            <w:tcW w:w="2160" w:type="dxa"/>
          </w:tcPr>
          <w:p w14:paraId="38CB0415">
            <w:pPr>
              <w:spacing w:after="0" w:line="240" w:lineRule="auto"/>
              <w:rPr>
                <w:color w:val="376092" w:themeColor="accent1" w:themeShade="BF"/>
              </w:rPr>
            </w:pPr>
            <w:r>
              <w:rPr>
                <w:color w:val="376092" w:themeColor="accent1" w:themeShade="BF"/>
              </w:rPr>
              <w:t>2,038,442</w:t>
            </w:r>
          </w:p>
        </w:tc>
        <w:tc>
          <w:tcPr>
            <w:tcW w:w="2160" w:type="dxa"/>
          </w:tcPr>
          <w:p w14:paraId="26A4CA87">
            <w:pPr>
              <w:spacing w:after="0" w:line="240" w:lineRule="auto"/>
              <w:rPr>
                <w:color w:val="376092" w:themeColor="accent1" w:themeShade="BF"/>
              </w:rPr>
            </w:pPr>
            <w:r>
              <w:rPr>
                <w:color w:val="376092" w:themeColor="accent1" w:themeShade="BF"/>
              </w:rPr>
              <w:t>497,895.29</w:t>
            </w:r>
          </w:p>
        </w:tc>
        <w:tc>
          <w:tcPr>
            <w:tcW w:w="2160" w:type="dxa"/>
          </w:tcPr>
          <w:p w14:paraId="769A40BD">
            <w:pPr>
              <w:spacing w:after="0" w:line="240" w:lineRule="auto"/>
              <w:rPr>
                <w:color w:val="376092" w:themeColor="accent1" w:themeShade="BF"/>
              </w:rPr>
            </w:pPr>
            <w:r>
              <w:rPr>
                <w:color w:val="376092" w:themeColor="accent1" w:themeShade="BF"/>
              </w:rPr>
              <w:t>24.43%</w:t>
            </w:r>
          </w:p>
        </w:tc>
      </w:tr>
    </w:tbl>
    <w:p w14:paraId="0294926B">
      <w:pPr>
        <w:pStyle w:val="2"/>
      </w:pPr>
      <w:r>
        <w:t>4. Regional Performance</w:t>
      </w:r>
    </w:p>
    <w:p w14:paraId="00DCFD64">
      <w:r>
        <w:drawing>
          <wp:inline distT="0" distB="0" distL="114300" distR="114300">
            <wp:extent cx="585216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52160" cy="3291840"/>
                    </a:xfrm>
                    <a:prstGeom prst="rect">
                      <a:avLst/>
                    </a:prstGeom>
                  </pic:spPr>
                </pic:pic>
              </a:graphicData>
            </a:graphic>
          </wp:inline>
        </w:drawing>
      </w:r>
    </w:p>
    <w:p w14:paraId="7BD20122">
      <w:r>
        <w:t>The West region led with sales of 4,798,743 and profit of 1,192,004.61. Among the major regions, North showed the highest profit margin at 32.00%. The North region contains only one record and should not be compared directly with the other regions without checking the source data.</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4F942AF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3DAB6087">
            <w:pPr>
              <w:spacing w:after="0" w:line="240" w:lineRule="auto"/>
              <w:rPr>
                <w:color w:val="376092" w:themeColor="accent1" w:themeShade="BF"/>
              </w:rPr>
            </w:pPr>
            <w:r>
              <w:rPr>
                <w:color w:val="376092" w:themeColor="accent1" w:themeShade="BF"/>
              </w:rPr>
              <w:t>Region</w:t>
            </w:r>
          </w:p>
        </w:tc>
        <w:tc>
          <w:tcPr>
            <w:tcW w:w="2160" w:type="dxa"/>
          </w:tcPr>
          <w:p w14:paraId="454D2264">
            <w:pPr>
              <w:spacing w:after="0" w:line="240" w:lineRule="auto"/>
              <w:rPr>
                <w:color w:val="376092" w:themeColor="accent1" w:themeShade="BF"/>
              </w:rPr>
            </w:pPr>
            <w:r>
              <w:rPr>
                <w:color w:val="376092" w:themeColor="accent1" w:themeShade="BF"/>
              </w:rPr>
              <w:t>Sales</w:t>
            </w:r>
          </w:p>
        </w:tc>
        <w:tc>
          <w:tcPr>
            <w:tcW w:w="2160" w:type="dxa"/>
          </w:tcPr>
          <w:p w14:paraId="0E876DD6">
            <w:pPr>
              <w:spacing w:after="0" w:line="240" w:lineRule="auto"/>
              <w:rPr>
                <w:color w:val="376092" w:themeColor="accent1" w:themeShade="BF"/>
              </w:rPr>
            </w:pPr>
            <w:r>
              <w:rPr>
                <w:color w:val="376092" w:themeColor="accent1" w:themeShade="BF"/>
              </w:rPr>
              <w:t>Profit</w:t>
            </w:r>
          </w:p>
        </w:tc>
        <w:tc>
          <w:tcPr>
            <w:tcW w:w="2160" w:type="dxa"/>
          </w:tcPr>
          <w:p w14:paraId="447DFB9C">
            <w:pPr>
              <w:spacing w:after="0" w:line="240" w:lineRule="auto"/>
              <w:rPr>
                <w:color w:val="376092" w:themeColor="accent1" w:themeShade="BF"/>
              </w:rPr>
            </w:pPr>
            <w:r>
              <w:rPr>
                <w:color w:val="376092" w:themeColor="accent1" w:themeShade="BF"/>
              </w:rPr>
              <w:t>Margin %</w:t>
            </w:r>
          </w:p>
        </w:tc>
      </w:tr>
      <w:tr w14:paraId="0A9AF63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618FC6CB">
            <w:pPr>
              <w:spacing w:after="0" w:line="240" w:lineRule="auto"/>
              <w:rPr>
                <w:color w:val="376092" w:themeColor="accent1" w:themeShade="BF"/>
              </w:rPr>
            </w:pPr>
            <w:r>
              <w:rPr>
                <w:color w:val="376092" w:themeColor="accent1" w:themeShade="BF"/>
              </w:rPr>
              <w:t>West</w:t>
            </w:r>
          </w:p>
        </w:tc>
        <w:tc>
          <w:tcPr>
            <w:tcW w:w="2160" w:type="dxa"/>
          </w:tcPr>
          <w:p w14:paraId="618559F9">
            <w:pPr>
              <w:spacing w:after="0" w:line="240" w:lineRule="auto"/>
              <w:rPr>
                <w:color w:val="376092" w:themeColor="accent1" w:themeShade="BF"/>
              </w:rPr>
            </w:pPr>
            <w:r>
              <w:rPr>
                <w:color w:val="376092" w:themeColor="accent1" w:themeShade="BF"/>
              </w:rPr>
              <w:t>4,798,743</w:t>
            </w:r>
          </w:p>
        </w:tc>
        <w:tc>
          <w:tcPr>
            <w:tcW w:w="2160" w:type="dxa"/>
          </w:tcPr>
          <w:p w14:paraId="0E762ABB">
            <w:pPr>
              <w:spacing w:after="0" w:line="240" w:lineRule="auto"/>
              <w:rPr>
                <w:color w:val="376092" w:themeColor="accent1" w:themeShade="BF"/>
              </w:rPr>
            </w:pPr>
            <w:r>
              <w:rPr>
                <w:color w:val="376092" w:themeColor="accent1" w:themeShade="BF"/>
              </w:rPr>
              <w:t>1,192,004.61</w:t>
            </w:r>
          </w:p>
        </w:tc>
        <w:tc>
          <w:tcPr>
            <w:tcW w:w="2160" w:type="dxa"/>
          </w:tcPr>
          <w:p w14:paraId="777A3C37">
            <w:pPr>
              <w:spacing w:after="0" w:line="240" w:lineRule="auto"/>
              <w:rPr>
                <w:color w:val="376092" w:themeColor="accent1" w:themeShade="BF"/>
              </w:rPr>
            </w:pPr>
            <w:r>
              <w:rPr>
                <w:color w:val="376092" w:themeColor="accent1" w:themeShade="BF"/>
              </w:rPr>
              <w:t>24.84%</w:t>
            </w:r>
          </w:p>
        </w:tc>
      </w:tr>
      <w:tr w14:paraId="31D6B6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7767E586">
            <w:pPr>
              <w:spacing w:after="0" w:line="240" w:lineRule="auto"/>
              <w:rPr>
                <w:color w:val="376092" w:themeColor="accent1" w:themeShade="BF"/>
              </w:rPr>
            </w:pPr>
            <w:r>
              <w:rPr>
                <w:color w:val="376092" w:themeColor="accent1" w:themeShade="BF"/>
              </w:rPr>
              <w:t>East</w:t>
            </w:r>
          </w:p>
        </w:tc>
        <w:tc>
          <w:tcPr>
            <w:tcW w:w="2160" w:type="dxa"/>
          </w:tcPr>
          <w:p w14:paraId="0960AC9C">
            <w:pPr>
              <w:spacing w:after="0" w:line="240" w:lineRule="auto"/>
              <w:rPr>
                <w:color w:val="376092" w:themeColor="accent1" w:themeShade="BF"/>
              </w:rPr>
            </w:pPr>
            <w:r>
              <w:rPr>
                <w:color w:val="376092" w:themeColor="accent1" w:themeShade="BF"/>
              </w:rPr>
              <w:t>4,248,368</w:t>
            </w:r>
          </w:p>
        </w:tc>
        <w:tc>
          <w:tcPr>
            <w:tcW w:w="2160" w:type="dxa"/>
          </w:tcPr>
          <w:p w14:paraId="531CD655">
            <w:pPr>
              <w:spacing w:after="0" w:line="240" w:lineRule="auto"/>
              <w:rPr>
                <w:color w:val="376092" w:themeColor="accent1" w:themeShade="BF"/>
              </w:rPr>
            </w:pPr>
            <w:r>
              <w:rPr>
                <w:color w:val="376092" w:themeColor="accent1" w:themeShade="BF"/>
              </w:rPr>
              <w:t>1,074,345.58</w:t>
            </w:r>
          </w:p>
        </w:tc>
        <w:tc>
          <w:tcPr>
            <w:tcW w:w="2160" w:type="dxa"/>
          </w:tcPr>
          <w:p w14:paraId="156B31CD">
            <w:pPr>
              <w:spacing w:after="0" w:line="240" w:lineRule="auto"/>
              <w:rPr>
                <w:color w:val="376092" w:themeColor="accent1" w:themeShade="BF"/>
              </w:rPr>
            </w:pPr>
            <w:r>
              <w:rPr>
                <w:color w:val="376092" w:themeColor="accent1" w:themeShade="BF"/>
              </w:rPr>
              <w:t>25.29%</w:t>
            </w:r>
          </w:p>
        </w:tc>
      </w:tr>
      <w:tr w14:paraId="17E6FD5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63FCFEFE">
            <w:pPr>
              <w:spacing w:after="0" w:line="240" w:lineRule="auto"/>
              <w:rPr>
                <w:color w:val="376092" w:themeColor="accent1" w:themeShade="BF"/>
              </w:rPr>
            </w:pPr>
            <w:r>
              <w:rPr>
                <w:color w:val="376092" w:themeColor="accent1" w:themeShade="BF"/>
              </w:rPr>
              <w:t>Central</w:t>
            </w:r>
          </w:p>
        </w:tc>
        <w:tc>
          <w:tcPr>
            <w:tcW w:w="2160" w:type="dxa"/>
          </w:tcPr>
          <w:p w14:paraId="4365681E">
            <w:pPr>
              <w:spacing w:after="0" w:line="240" w:lineRule="auto"/>
              <w:rPr>
                <w:color w:val="376092" w:themeColor="accent1" w:themeShade="BF"/>
              </w:rPr>
            </w:pPr>
            <w:r>
              <w:rPr>
                <w:color w:val="376092" w:themeColor="accent1" w:themeShade="BF"/>
              </w:rPr>
              <w:t>3,468,156</w:t>
            </w:r>
          </w:p>
        </w:tc>
        <w:tc>
          <w:tcPr>
            <w:tcW w:w="2160" w:type="dxa"/>
          </w:tcPr>
          <w:p w14:paraId="438DA760">
            <w:pPr>
              <w:spacing w:after="0" w:line="240" w:lineRule="auto"/>
              <w:rPr>
                <w:color w:val="376092" w:themeColor="accent1" w:themeShade="BF"/>
              </w:rPr>
            </w:pPr>
            <w:r>
              <w:rPr>
                <w:color w:val="376092" w:themeColor="accent1" w:themeShade="BF"/>
              </w:rPr>
              <w:t>856,806.84</w:t>
            </w:r>
          </w:p>
        </w:tc>
        <w:tc>
          <w:tcPr>
            <w:tcW w:w="2160" w:type="dxa"/>
          </w:tcPr>
          <w:p w14:paraId="2A581F64">
            <w:pPr>
              <w:spacing w:after="0" w:line="240" w:lineRule="auto"/>
              <w:rPr>
                <w:color w:val="376092" w:themeColor="accent1" w:themeShade="BF"/>
              </w:rPr>
            </w:pPr>
            <w:r>
              <w:rPr>
                <w:color w:val="376092" w:themeColor="accent1" w:themeShade="BF"/>
              </w:rPr>
              <w:t>24.70%</w:t>
            </w:r>
          </w:p>
        </w:tc>
      </w:tr>
      <w:tr w14:paraId="0E59C23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DDBC0AE">
            <w:pPr>
              <w:spacing w:after="0" w:line="240" w:lineRule="auto"/>
              <w:rPr>
                <w:color w:val="376092" w:themeColor="accent1" w:themeShade="BF"/>
              </w:rPr>
            </w:pPr>
            <w:r>
              <w:rPr>
                <w:color w:val="376092" w:themeColor="accent1" w:themeShade="BF"/>
              </w:rPr>
              <w:t>South</w:t>
            </w:r>
          </w:p>
        </w:tc>
        <w:tc>
          <w:tcPr>
            <w:tcW w:w="2160" w:type="dxa"/>
          </w:tcPr>
          <w:p w14:paraId="34AC8A5A">
            <w:pPr>
              <w:spacing w:after="0" w:line="240" w:lineRule="auto"/>
              <w:rPr>
                <w:color w:val="376092" w:themeColor="accent1" w:themeShade="BF"/>
              </w:rPr>
            </w:pPr>
            <w:r>
              <w:rPr>
                <w:color w:val="376092" w:themeColor="accent1" w:themeShade="BF"/>
              </w:rPr>
              <w:t>2,440,461</w:t>
            </w:r>
          </w:p>
        </w:tc>
        <w:tc>
          <w:tcPr>
            <w:tcW w:w="2160" w:type="dxa"/>
          </w:tcPr>
          <w:p w14:paraId="4A1394CA">
            <w:pPr>
              <w:spacing w:after="0" w:line="240" w:lineRule="auto"/>
              <w:rPr>
                <w:color w:val="376092" w:themeColor="accent1" w:themeShade="BF"/>
              </w:rPr>
            </w:pPr>
            <w:r>
              <w:rPr>
                <w:color w:val="376092" w:themeColor="accent1" w:themeShade="BF"/>
              </w:rPr>
              <w:t>623,562.89</w:t>
            </w:r>
          </w:p>
        </w:tc>
        <w:tc>
          <w:tcPr>
            <w:tcW w:w="2160" w:type="dxa"/>
          </w:tcPr>
          <w:p w14:paraId="3A2143EF">
            <w:pPr>
              <w:spacing w:after="0" w:line="240" w:lineRule="auto"/>
              <w:rPr>
                <w:color w:val="376092" w:themeColor="accent1" w:themeShade="BF"/>
              </w:rPr>
            </w:pPr>
            <w:r>
              <w:rPr>
                <w:color w:val="376092" w:themeColor="accent1" w:themeShade="BF"/>
              </w:rPr>
              <w:t>25.55%</w:t>
            </w:r>
          </w:p>
        </w:tc>
      </w:tr>
      <w:tr w14:paraId="5D86BF1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044194B0">
            <w:pPr>
              <w:spacing w:after="0" w:line="240" w:lineRule="auto"/>
              <w:rPr>
                <w:color w:val="376092" w:themeColor="accent1" w:themeShade="BF"/>
              </w:rPr>
            </w:pPr>
            <w:r>
              <w:rPr>
                <w:color w:val="376092" w:themeColor="accent1" w:themeShade="BF"/>
              </w:rPr>
              <w:t>North</w:t>
            </w:r>
          </w:p>
        </w:tc>
        <w:tc>
          <w:tcPr>
            <w:tcW w:w="2160" w:type="dxa"/>
          </w:tcPr>
          <w:p w14:paraId="59D90748">
            <w:pPr>
              <w:spacing w:after="0" w:line="240" w:lineRule="auto"/>
              <w:rPr>
                <w:color w:val="376092" w:themeColor="accent1" w:themeShade="BF"/>
              </w:rPr>
            </w:pPr>
            <w:r>
              <w:rPr>
                <w:color w:val="376092" w:themeColor="accent1" w:themeShade="BF"/>
              </w:rPr>
              <w:t>1,254</w:t>
            </w:r>
          </w:p>
        </w:tc>
        <w:tc>
          <w:tcPr>
            <w:tcW w:w="2160" w:type="dxa"/>
          </w:tcPr>
          <w:p w14:paraId="39E6E3FC">
            <w:pPr>
              <w:spacing w:after="0" w:line="240" w:lineRule="auto"/>
              <w:rPr>
                <w:color w:val="376092" w:themeColor="accent1" w:themeShade="BF"/>
              </w:rPr>
            </w:pPr>
            <w:r>
              <w:rPr>
                <w:color w:val="376092" w:themeColor="accent1" w:themeShade="BF"/>
              </w:rPr>
              <w:t>401.28</w:t>
            </w:r>
          </w:p>
        </w:tc>
        <w:tc>
          <w:tcPr>
            <w:tcW w:w="2160" w:type="dxa"/>
          </w:tcPr>
          <w:p w14:paraId="41F52C11">
            <w:pPr>
              <w:spacing w:after="0" w:line="240" w:lineRule="auto"/>
              <w:rPr>
                <w:color w:val="376092" w:themeColor="accent1" w:themeShade="BF"/>
              </w:rPr>
            </w:pPr>
            <w:r>
              <w:rPr>
                <w:color w:val="376092" w:themeColor="accent1" w:themeShade="BF"/>
              </w:rPr>
              <w:t>32.00%</w:t>
            </w:r>
          </w:p>
        </w:tc>
      </w:tr>
    </w:tbl>
    <w:p w14:paraId="136C84F4">
      <w:pPr>
        <w:pStyle w:val="2"/>
      </w:pPr>
      <w:r>
        <w:t>5. Location and Product Highlights</w:t>
      </w:r>
    </w:p>
    <w:p w14:paraId="3B6D5DCB">
      <w:r>
        <w:t>Among cities, Kanyakumari had the highest sales (706,764). Vellore generated the highest city-level profit (174,073.01). Tenkasi had the lowest city profit margin (24.27%), making it a candidate for further investigation—but a low margin alone does not prove poor performance.</w:t>
      </w:r>
    </w:p>
    <w:p w14:paraId="51F4EE8A">
      <w:r>
        <w:t>At sub-category level, Health Drinks had the highest sales (1,051,439) and Health Drinks had the highest profit (267,469.79).</w:t>
      </w:r>
    </w:p>
    <w:p w14:paraId="35E5FBAF">
      <w:pPr>
        <w:pStyle w:val="2"/>
      </w:pPr>
      <w:r>
        <w:t>6. Discount and Profit: Interpretation</w:t>
      </w:r>
    </w:p>
    <w:p w14:paraId="3F596913">
      <w:r>
        <w:t>The Pearson correlation between the Discount and Profit columns is 0.0000. This indicates a positive linear relationship, with strength assessed by how close the value is to -1 or +1. Correlation does not prove that discounts cause profit changes. Check the meaning and scale of the Discount field and compare profit margin across discount bands before making pricing decisions.</w:t>
      </w:r>
    </w:p>
    <w:p w14:paraId="7EB4E5B8">
      <w:pPr>
        <w:pStyle w:val="2"/>
      </w:pPr>
      <w:r>
        <w:t>7. Data Quality and Limitations</w:t>
      </w:r>
    </w:p>
    <w:p w14:paraId="5DDA3AC1">
      <w:r>
        <w:t>The main sheet has 9,994 rows and 12 columns, with no blank values detected in the loaded columns. There are 1 distinct state value(s) and 5 region labels; validate whether these fields reflect the intended geographic coverage. The North region has just one row, which can distort regional comparisons. The dataset has 9,994 unique Order IDs, so the row count appears to match the order-ID count; confirm whether each row represents a complete order or an individual transaction before using order-level averages.</w:t>
      </w:r>
    </w:p>
    <w:p w14:paraId="621C5A22">
      <w:pPr>
        <w:pStyle w:val="2"/>
      </w:pPr>
      <w:r>
        <w:t>8. Recommendations</w:t>
      </w:r>
    </w:p>
    <w:p w14:paraId="2772A39B">
      <w:pPr>
        <w:pStyle w:val="23"/>
      </w:pPr>
      <w:r>
        <w:t>Investigate the 2018 growth drivers by comparing category, sub-category, city and monthly performance against earlier years.</w:t>
      </w:r>
    </w:p>
    <w:p w14:paraId="0ADA88B7">
      <w:pPr>
        <w:pStyle w:val="23"/>
      </w:pPr>
      <w:r>
        <w:t>Protect the West region’s strong contribution while reviewing whether its 24.84% margin can be improved through pricing, sourcing or discount controls.</w:t>
      </w:r>
    </w:p>
    <w:p w14:paraId="337A82CA">
      <w:pPr>
        <w:pStyle w:val="23"/>
      </w:pPr>
      <w:r>
        <w:t>Review Oil &amp; Masala’s category margin (24.43%) to identify cost, price or promotion opportunities.</w:t>
      </w:r>
    </w:p>
    <w:p w14:paraId="01B67D52">
      <w:pPr>
        <w:pStyle w:val="23"/>
      </w:pPr>
      <w:r>
        <w:t>Compare profit margin and order volume across discount bands; avoid judging discount effectiveness from correlation alone.</w:t>
      </w:r>
    </w:p>
    <w:p w14:paraId="064CBAED">
      <w:pPr>
        <w:pStyle w:val="23"/>
      </w:pPr>
      <w:r>
        <w:t>Prioritize cities with high sales but below-average margin for a deeper product-mix and discount review.</w:t>
      </w:r>
    </w:p>
    <w:p w14:paraId="7E0EF4DD">
      <w:pPr>
        <w:pStyle w:val="23"/>
      </w:pPr>
      <w:r>
        <w:t>Validate the single-record North region and geographic fields before using them for strategic conclusions.</w:t>
      </w:r>
    </w:p>
    <w:p w14:paraId="4644AAF4">
      <w:pPr>
        <w:pStyle w:val="2"/>
      </w:pPr>
      <w:r>
        <w:t>9. Conclusion</w:t>
      </w:r>
    </w:p>
    <w:p w14:paraId="4CB67A01">
      <w:r>
        <w:t>The business recorded 14,956,982 in sales and 3,747,121.20 in profit across 2015–2018, with an overall profit margin of 25.05%. Results show growth over time, a strong West region contribution and modest differences in category margins. The next analysis should focus on monthly trends, discount bands, and high-sales/low-margin cities to turn these findings into specific actions.</w:t>
      </w:r>
    </w:p>
    <w:p w14:paraId="114991CB">
      <w:pPr>
        <w:rPr>
          <w:rFonts w:hint="default"/>
          <w:lang w:val="en-US"/>
        </w:rPr>
      </w:pPr>
      <w:r>
        <w:rPr>
          <w:rFonts w:hint="default"/>
          <w:lang w:val="en-US"/>
        </w:rPr>
        <w:t>***************************************************************************************************</w:t>
      </w:r>
    </w:p>
    <w:sectPr>
      <w:pgSz w:w="12240" w:h="15840"/>
      <w:pgMar w:top="936" w:right="1800" w:bottom="936"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33533A"/>
    <w:rsid w:val="2E7E79BD"/>
    <w:rsid w:val="41B600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706</Words>
  <Characters>4221</Characters>
  <Lines>0</Lines>
  <Paragraphs>0</Paragraphs>
  <TotalTime>0</TotalTime>
  <ScaleCrop>false</ScaleCrop>
  <LinksUpToDate>false</LinksUpToDate>
  <CharactersWithSpaces>4805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jaya nagariya</cp:lastModifiedBy>
  <dcterms:modified xsi:type="dcterms:W3CDTF">2026-10-29T05:07:01Z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eyJoZGlkIjoiNTEwMDkxNGZlNDg0YWMxMDdlMWJmYTY1MDk3ZWRiYzIiLCJ1c2VySWQiOiI1NjcxNTU3ODM3MjUifQ==</vt:lpwstr>
  </property>
  <property fmtid="{D5CDD505-2E9C-101B-9397-08002B2CF9AE}" pid="3" name="KSOProductBuildVer">
    <vt:lpwstr>1033-12.1.0.29162</vt:lpwstr>
  </property>
  <property fmtid="{D5CDD505-2E9C-101B-9397-08002B2CF9AE}" pid="4" name="ICV">
    <vt:lpwstr>FDE8EA5ADBED4D2AAA605E3FC3BDA86B_12</vt:lpwstr>
  </property>
</Properties>
</file>