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BF06" w14:textId="77777777" w:rsidR="00DE5AAE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苏航TASK3 学习报告</w:t>
      </w:r>
    </w:p>
    <w:p w14:paraId="2110183B" w14:textId="77777777" w:rsidR="00DE5AAE" w:rsidRDefault="00DE5AAE">
      <w:pPr>
        <w:rPr>
          <w:lang w:eastAsia="zh-CN"/>
        </w:rPr>
      </w:pPr>
    </w:p>
    <w:p w14:paraId="017E5B1E" w14:textId="77777777" w:rsidR="00DE5AAE" w:rsidRDefault="00000000">
      <w:pPr>
        <w:spacing w:after="0" w:line="360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一、名词解释</w:t>
      </w:r>
    </w:p>
    <w:p w14:paraId="677A2C8B" w14:textId="13D892C9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金叉：</w:t>
      </w:r>
      <w:r>
        <w:rPr>
          <w:rFonts w:ascii="宋体" w:eastAsia="宋体" w:hAnsi="宋体"/>
          <w:sz w:val="21"/>
          <w:lang w:eastAsia="zh-CN"/>
        </w:rPr>
        <w:t>短期均线由下向上穿过长期均线的瞬间，近期买入者的平均成本开始高于长期持有者，市场情绪由弱转强，上涨趋势可能正在形成或加速。金叉通常被视为买入信号，预示着短期价格动能增强，多头力量开始占据主导地位。</w:t>
      </w:r>
    </w:p>
    <w:p w14:paraId="550BB580" w14:textId="3AD16FC4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死叉：</w:t>
      </w:r>
      <w:r>
        <w:rPr>
          <w:rFonts w:ascii="宋体" w:eastAsia="宋体" w:hAnsi="宋体"/>
          <w:sz w:val="21"/>
          <w:lang w:eastAsia="zh-CN"/>
        </w:rPr>
        <w:t>短期均线由上向下穿过长期均线的瞬间，表明近期买入者的平均成本开始低于长期持有者，市场抛压增大，情绪由强转弱，下跌趋势可能开启。死叉通常被视为卖出信号，意味着短期价格动能衰减，空头力量逐渐占据优势。</w:t>
      </w:r>
    </w:p>
    <w:p w14:paraId="3D3ECF1C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最大回撤：</w:t>
      </w:r>
      <w:r>
        <w:rPr>
          <w:rFonts w:ascii="宋体" w:eastAsia="宋体" w:hAnsi="宋体"/>
          <w:sz w:val="21"/>
          <w:lang w:eastAsia="zh-CN"/>
        </w:rPr>
        <w:t>在选定周期内，从任一历史最高点到其后最低点的最大跌幅。它衡量的是策略在最极端情况下的潜在亏损幅度，是评估策略风险的关键指标之一。最大回撤越大，说明策略在不利市场条件下的抗风险能力越弱，投资者可能承受的心理压力和实际损失也越大。私募行业通常要求最大回撤控制在20%以内，超过30%则被视为高风险策略。</w:t>
      </w:r>
    </w:p>
    <w:p w14:paraId="2D9C3652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夏普比率：</w:t>
      </w:r>
      <w:r>
        <w:rPr>
          <w:rFonts w:ascii="宋体" w:eastAsia="宋体" w:hAnsi="宋体"/>
          <w:sz w:val="21"/>
          <w:lang w:eastAsia="zh-CN"/>
        </w:rPr>
        <w:t>衡量策略每承担一单位总风险（波动率）所获得的超额回报。它是风险调整后收益的黄金标准，计算公式为：夏普比率 =（策略年化收益率 - 无风险利率）/ 策略年化波动率。夏普比率&lt;1表示表现一般，收益不足以补偿风险；1~2表示良好；&gt;2表示优秀；&gt;3则可能存在过拟合问题。夏普比率越高，说明策略在获取收益的同时对风险的控制越好。</w:t>
      </w:r>
    </w:p>
    <w:p w14:paraId="5CDCB6C3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累计回报：</w:t>
      </w:r>
      <w:r>
        <w:rPr>
          <w:rFonts w:ascii="宋体" w:eastAsia="宋体" w:hAnsi="宋体"/>
          <w:sz w:val="21"/>
          <w:lang w:eastAsia="zh-CN"/>
        </w:rPr>
        <w:t>策略在整个回测或实盘期间，初始投资到最终价值的总增长率。计算公式为：累计回报率 =（最终净值 - 初始资金）/ 初始资金 × 100%。它直观反映了策略的绝对盈利能力，但未考虑风险因素和时间成本，因此通常需要与年化收益率、夏普比率等指标配合使用，才能全面评估策略表现。</w:t>
      </w:r>
    </w:p>
    <w:p w14:paraId="1A5C41EA" w14:textId="77777777" w:rsidR="00DE5AAE" w:rsidRDefault="00DE5AAE">
      <w:pPr>
        <w:rPr>
          <w:lang w:eastAsia="zh-CN"/>
        </w:rPr>
      </w:pPr>
    </w:p>
    <w:p w14:paraId="60597723" w14:textId="77777777" w:rsidR="00DE5AAE" w:rsidRDefault="00000000">
      <w:pPr>
        <w:spacing w:after="0" w:line="360" w:lineRule="auto"/>
      </w:pPr>
      <w:proofErr w:type="spellStart"/>
      <w:r>
        <w:rPr>
          <w:rFonts w:ascii="宋体" w:eastAsia="宋体" w:hAnsi="宋体"/>
          <w:b/>
          <w:sz w:val="24"/>
        </w:rPr>
        <w:t>二、成果展示</w:t>
      </w:r>
      <w:proofErr w:type="spellEnd"/>
    </w:p>
    <w:p w14:paraId="633C5E57" w14:textId="77777777" w:rsidR="00DE5AAE" w:rsidRDefault="00000000">
      <w:pPr>
        <w:spacing w:after="0" w:line="360" w:lineRule="auto"/>
        <w:ind w:firstLine="420"/>
        <w:jc w:val="both"/>
      </w:pPr>
      <w:r>
        <w:rPr>
          <w:rFonts w:ascii="宋体" w:eastAsia="宋体" w:hAnsi="宋体"/>
          <w:sz w:val="21"/>
        </w:rPr>
        <w:t>在线看板地址：</w:t>
      </w:r>
      <w:bookmarkStart w:id="0" w:name="OLE_LINK2"/>
      <w:r>
        <w:rPr>
          <w:rFonts w:ascii="宋体" w:eastAsia="宋体" w:hAnsi="宋体"/>
          <w:sz w:val="21"/>
        </w:rPr>
        <w:t>https://suhang-s.github.io/AI-Quant/backtest_dashboard.html</w:t>
      </w:r>
      <w:bookmarkEnd w:id="0"/>
    </w:p>
    <w:p w14:paraId="1DFC2DA3" w14:textId="77777777" w:rsidR="00DE5AAE" w:rsidRDefault="00000000">
      <w:pPr>
        <w:spacing w:after="0" w:line="360" w:lineRule="auto"/>
        <w:ind w:firstLine="420"/>
        <w:jc w:val="both"/>
      </w:pPr>
      <w:r>
        <w:rPr>
          <w:rFonts w:ascii="宋体" w:eastAsia="宋体" w:hAnsi="宋体"/>
          <w:sz w:val="21"/>
          <w:lang w:eastAsia="zh-CN"/>
        </w:rPr>
        <w:t>对科大讯飞、中芯国际、比亚迪、南大光电、药明康德五只股票按双均线策略进行回测，参数为MA5/MA15，初始资金10万元，印花税万分之5，交易费万分之0.8。</w:t>
      </w:r>
      <w:proofErr w:type="spellStart"/>
      <w:r>
        <w:rPr>
          <w:rFonts w:ascii="宋体" w:eastAsia="宋体" w:hAnsi="宋体"/>
          <w:sz w:val="21"/>
        </w:rPr>
        <w:t>回测结果如下表所示</w:t>
      </w:r>
      <w:proofErr w:type="spellEnd"/>
      <w:r>
        <w:rPr>
          <w:rFonts w:ascii="宋体" w:eastAsia="宋体" w:hAnsi="宋体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026"/>
        <w:gridCol w:w="959"/>
        <w:gridCol w:w="959"/>
        <w:gridCol w:w="959"/>
        <w:gridCol w:w="959"/>
        <w:gridCol w:w="959"/>
        <w:gridCol w:w="959"/>
        <w:gridCol w:w="959"/>
      </w:tblGrid>
      <w:tr w:rsidR="00DE5AAE" w14:paraId="758B4EA2" w14:textId="77777777">
        <w:trPr>
          <w:jc w:val="center"/>
        </w:trPr>
        <w:tc>
          <w:tcPr>
            <w:tcW w:w="959" w:type="dxa"/>
            <w:shd w:val="clear" w:color="auto" w:fill="D9E2F3"/>
          </w:tcPr>
          <w:p w14:paraId="6E6F8D9E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股票</w:t>
            </w:r>
          </w:p>
        </w:tc>
        <w:tc>
          <w:tcPr>
            <w:tcW w:w="959" w:type="dxa"/>
            <w:shd w:val="clear" w:color="auto" w:fill="D9E2F3"/>
          </w:tcPr>
          <w:p w14:paraId="4898EA92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代码</w:t>
            </w:r>
          </w:p>
        </w:tc>
        <w:tc>
          <w:tcPr>
            <w:tcW w:w="959" w:type="dxa"/>
            <w:shd w:val="clear" w:color="auto" w:fill="D9E2F3"/>
          </w:tcPr>
          <w:p w14:paraId="2D6BCCC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策略收益</w:t>
            </w:r>
          </w:p>
        </w:tc>
        <w:tc>
          <w:tcPr>
            <w:tcW w:w="959" w:type="dxa"/>
            <w:shd w:val="clear" w:color="auto" w:fill="D9E2F3"/>
          </w:tcPr>
          <w:p w14:paraId="1B9B39FF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买入持有收益</w:t>
            </w:r>
          </w:p>
        </w:tc>
        <w:tc>
          <w:tcPr>
            <w:tcW w:w="959" w:type="dxa"/>
            <w:shd w:val="clear" w:color="auto" w:fill="D9E2F3"/>
          </w:tcPr>
          <w:p w14:paraId="2D0CA75B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超额收益</w:t>
            </w:r>
          </w:p>
        </w:tc>
        <w:tc>
          <w:tcPr>
            <w:tcW w:w="959" w:type="dxa"/>
            <w:shd w:val="clear" w:color="auto" w:fill="D9E2F3"/>
          </w:tcPr>
          <w:p w14:paraId="597D1EFB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夏普比率</w:t>
            </w:r>
          </w:p>
        </w:tc>
        <w:tc>
          <w:tcPr>
            <w:tcW w:w="959" w:type="dxa"/>
            <w:shd w:val="clear" w:color="auto" w:fill="D9E2F3"/>
          </w:tcPr>
          <w:p w14:paraId="301A639E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最大回撤</w:t>
            </w:r>
          </w:p>
        </w:tc>
        <w:tc>
          <w:tcPr>
            <w:tcW w:w="959" w:type="dxa"/>
            <w:shd w:val="clear" w:color="auto" w:fill="D9E2F3"/>
          </w:tcPr>
          <w:p w14:paraId="7F6C7578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胜率</w:t>
            </w:r>
          </w:p>
        </w:tc>
        <w:tc>
          <w:tcPr>
            <w:tcW w:w="959" w:type="dxa"/>
            <w:shd w:val="clear" w:color="auto" w:fill="D9E2F3"/>
          </w:tcPr>
          <w:p w14:paraId="7EE36AF6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交易笔数</w:t>
            </w:r>
          </w:p>
        </w:tc>
      </w:tr>
      <w:tr w:rsidR="00DE5AAE" w14:paraId="6728DF87" w14:textId="77777777">
        <w:trPr>
          <w:jc w:val="center"/>
        </w:trPr>
        <w:tc>
          <w:tcPr>
            <w:tcW w:w="959" w:type="dxa"/>
          </w:tcPr>
          <w:p w14:paraId="7C549303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科大讯飞</w:t>
            </w:r>
          </w:p>
        </w:tc>
        <w:tc>
          <w:tcPr>
            <w:tcW w:w="959" w:type="dxa"/>
          </w:tcPr>
          <w:p w14:paraId="5398C529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002230.SZ</w:t>
            </w:r>
          </w:p>
        </w:tc>
        <w:tc>
          <w:tcPr>
            <w:tcW w:w="959" w:type="dxa"/>
          </w:tcPr>
          <w:p w14:paraId="26D0A577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+48.16%</w:t>
            </w:r>
          </w:p>
        </w:tc>
        <w:tc>
          <w:tcPr>
            <w:tcW w:w="959" w:type="dxa"/>
          </w:tcPr>
          <w:p w14:paraId="2D688B77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+0.97%</w:t>
            </w:r>
          </w:p>
        </w:tc>
        <w:tc>
          <w:tcPr>
            <w:tcW w:w="959" w:type="dxa"/>
          </w:tcPr>
          <w:p w14:paraId="1EBB27C7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+47.19%</w:t>
            </w:r>
          </w:p>
        </w:tc>
        <w:tc>
          <w:tcPr>
            <w:tcW w:w="959" w:type="dxa"/>
          </w:tcPr>
          <w:p w14:paraId="0CF1C51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0.80</w:t>
            </w:r>
          </w:p>
        </w:tc>
        <w:tc>
          <w:tcPr>
            <w:tcW w:w="959" w:type="dxa"/>
          </w:tcPr>
          <w:p w14:paraId="32224431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-15.43%</w:t>
            </w:r>
          </w:p>
        </w:tc>
        <w:tc>
          <w:tcPr>
            <w:tcW w:w="959" w:type="dxa"/>
          </w:tcPr>
          <w:p w14:paraId="679EE0EB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53.3%</w:t>
            </w:r>
          </w:p>
        </w:tc>
        <w:tc>
          <w:tcPr>
            <w:tcW w:w="959" w:type="dxa"/>
          </w:tcPr>
          <w:p w14:paraId="55277E66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</w:tr>
      <w:tr w:rsidR="00DE5AAE" w14:paraId="56C2CA5A" w14:textId="77777777">
        <w:trPr>
          <w:jc w:val="center"/>
        </w:trPr>
        <w:tc>
          <w:tcPr>
            <w:tcW w:w="959" w:type="dxa"/>
            <w:shd w:val="clear" w:color="auto" w:fill="F2F2F2"/>
          </w:tcPr>
          <w:p w14:paraId="26141B08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lastRenderedPageBreak/>
              <w:t>中芯国际</w:t>
            </w:r>
          </w:p>
        </w:tc>
        <w:tc>
          <w:tcPr>
            <w:tcW w:w="959" w:type="dxa"/>
            <w:shd w:val="clear" w:color="auto" w:fill="F2F2F2"/>
          </w:tcPr>
          <w:p w14:paraId="6C5DC557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688981.SH</w:t>
            </w:r>
          </w:p>
        </w:tc>
        <w:tc>
          <w:tcPr>
            <w:tcW w:w="959" w:type="dxa"/>
            <w:shd w:val="clear" w:color="auto" w:fill="F2F2F2"/>
          </w:tcPr>
          <w:p w14:paraId="646886BA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+95.36%</w:t>
            </w:r>
          </w:p>
        </w:tc>
        <w:tc>
          <w:tcPr>
            <w:tcW w:w="959" w:type="dxa"/>
            <w:shd w:val="clear" w:color="auto" w:fill="F2F2F2"/>
          </w:tcPr>
          <w:p w14:paraId="19056B9C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+237.73%</w:t>
            </w:r>
          </w:p>
        </w:tc>
        <w:tc>
          <w:tcPr>
            <w:tcW w:w="959" w:type="dxa"/>
            <w:shd w:val="clear" w:color="auto" w:fill="F2F2F2"/>
          </w:tcPr>
          <w:p w14:paraId="7FFDF192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-142.37%</w:t>
            </w:r>
          </w:p>
        </w:tc>
        <w:tc>
          <w:tcPr>
            <w:tcW w:w="959" w:type="dxa"/>
            <w:shd w:val="clear" w:color="auto" w:fill="F2F2F2"/>
          </w:tcPr>
          <w:p w14:paraId="4C296D31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0.92</w:t>
            </w:r>
          </w:p>
        </w:tc>
        <w:tc>
          <w:tcPr>
            <w:tcW w:w="959" w:type="dxa"/>
            <w:shd w:val="clear" w:color="auto" w:fill="F2F2F2"/>
          </w:tcPr>
          <w:p w14:paraId="6C4ED41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-32.13%</w:t>
            </w:r>
          </w:p>
        </w:tc>
        <w:tc>
          <w:tcPr>
            <w:tcW w:w="959" w:type="dxa"/>
            <w:shd w:val="clear" w:color="auto" w:fill="F2F2F2"/>
          </w:tcPr>
          <w:p w14:paraId="272AF6F5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38.9%</w:t>
            </w:r>
          </w:p>
        </w:tc>
        <w:tc>
          <w:tcPr>
            <w:tcW w:w="959" w:type="dxa"/>
            <w:shd w:val="clear" w:color="auto" w:fill="F2F2F2"/>
          </w:tcPr>
          <w:p w14:paraId="3650D9DD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18</w:t>
            </w:r>
          </w:p>
        </w:tc>
      </w:tr>
      <w:tr w:rsidR="00DE5AAE" w14:paraId="20F0EC92" w14:textId="77777777">
        <w:trPr>
          <w:jc w:val="center"/>
        </w:trPr>
        <w:tc>
          <w:tcPr>
            <w:tcW w:w="959" w:type="dxa"/>
          </w:tcPr>
          <w:p w14:paraId="09D9BB16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比亚迪</w:t>
            </w:r>
          </w:p>
        </w:tc>
        <w:tc>
          <w:tcPr>
            <w:tcW w:w="959" w:type="dxa"/>
          </w:tcPr>
          <w:p w14:paraId="00EAED0C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002594.SZ</w:t>
            </w:r>
          </w:p>
        </w:tc>
        <w:tc>
          <w:tcPr>
            <w:tcW w:w="959" w:type="dxa"/>
          </w:tcPr>
          <w:p w14:paraId="4F94A5B9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+16.96%</w:t>
            </w:r>
          </w:p>
        </w:tc>
        <w:tc>
          <w:tcPr>
            <w:tcW w:w="959" w:type="dxa"/>
          </w:tcPr>
          <w:p w14:paraId="14A6852D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+9.29%</w:t>
            </w:r>
          </w:p>
        </w:tc>
        <w:tc>
          <w:tcPr>
            <w:tcW w:w="959" w:type="dxa"/>
          </w:tcPr>
          <w:p w14:paraId="534FBB8E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+7.67%</w:t>
            </w:r>
          </w:p>
        </w:tc>
        <w:tc>
          <w:tcPr>
            <w:tcW w:w="959" w:type="dxa"/>
          </w:tcPr>
          <w:p w14:paraId="34DB16DF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0.34</w:t>
            </w:r>
          </w:p>
        </w:tc>
        <w:tc>
          <w:tcPr>
            <w:tcW w:w="959" w:type="dxa"/>
          </w:tcPr>
          <w:p w14:paraId="54092C26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-25.89%</w:t>
            </w:r>
          </w:p>
        </w:tc>
        <w:tc>
          <w:tcPr>
            <w:tcW w:w="959" w:type="dxa"/>
          </w:tcPr>
          <w:p w14:paraId="7EEF7E0D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31.2%</w:t>
            </w:r>
          </w:p>
        </w:tc>
        <w:tc>
          <w:tcPr>
            <w:tcW w:w="959" w:type="dxa"/>
          </w:tcPr>
          <w:p w14:paraId="44C3A72B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</w:tr>
      <w:tr w:rsidR="00DE5AAE" w14:paraId="164CCEA1" w14:textId="77777777">
        <w:trPr>
          <w:jc w:val="center"/>
        </w:trPr>
        <w:tc>
          <w:tcPr>
            <w:tcW w:w="959" w:type="dxa"/>
            <w:shd w:val="clear" w:color="auto" w:fill="F2F2F2"/>
          </w:tcPr>
          <w:p w14:paraId="55B06F9C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南大光电</w:t>
            </w:r>
          </w:p>
        </w:tc>
        <w:tc>
          <w:tcPr>
            <w:tcW w:w="959" w:type="dxa"/>
            <w:shd w:val="clear" w:color="auto" w:fill="F2F2F2"/>
          </w:tcPr>
          <w:p w14:paraId="6CB693F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300346.SZ</w:t>
            </w:r>
          </w:p>
        </w:tc>
        <w:tc>
          <w:tcPr>
            <w:tcW w:w="959" w:type="dxa"/>
            <w:shd w:val="clear" w:color="auto" w:fill="F2F2F2"/>
          </w:tcPr>
          <w:p w14:paraId="3356E12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+55.78%</w:t>
            </w:r>
          </w:p>
        </w:tc>
        <w:tc>
          <w:tcPr>
            <w:tcW w:w="959" w:type="dxa"/>
            <w:shd w:val="clear" w:color="auto" w:fill="F2F2F2"/>
          </w:tcPr>
          <w:p w14:paraId="2707F25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+205.26%</w:t>
            </w:r>
          </w:p>
        </w:tc>
        <w:tc>
          <w:tcPr>
            <w:tcW w:w="959" w:type="dxa"/>
            <w:shd w:val="clear" w:color="auto" w:fill="F2F2F2"/>
          </w:tcPr>
          <w:p w14:paraId="76E84898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-149.48%</w:t>
            </w:r>
          </w:p>
        </w:tc>
        <w:tc>
          <w:tcPr>
            <w:tcW w:w="959" w:type="dxa"/>
            <w:shd w:val="clear" w:color="auto" w:fill="F2F2F2"/>
          </w:tcPr>
          <w:p w14:paraId="4835E561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0.68</w:t>
            </w:r>
          </w:p>
        </w:tc>
        <w:tc>
          <w:tcPr>
            <w:tcW w:w="959" w:type="dxa"/>
            <w:shd w:val="clear" w:color="auto" w:fill="F2F2F2"/>
          </w:tcPr>
          <w:p w14:paraId="56ADA54F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-26.77%</w:t>
            </w:r>
          </w:p>
        </w:tc>
        <w:tc>
          <w:tcPr>
            <w:tcW w:w="959" w:type="dxa"/>
            <w:shd w:val="clear" w:color="auto" w:fill="F2F2F2"/>
          </w:tcPr>
          <w:p w14:paraId="5EABB731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52.6%</w:t>
            </w:r>
          </w:p>
        </w:tc>
        <w:tc>
          <w:tcPr>
            <w:tcW w:w="959" w:type="dxa"/>
            <w:shd w:val="clear" w:color="auto" w:fill="F2F2F2"/>
          </w:tcPr>
          <w:p w14:paraId="7C9FB76D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19</w:t>
            </w:r>
          </w:p>
        </w:tc>
      </w:tr>
      <w:tr w:rsidR="00DE5AAE" w14:paraId="47F609B2" w14:textId="77777777">
        <w:trPr>
          <w:jc w:val="center"/>
        </w:trPr>
        <w:tc>
          <w:tcPr>
            <w:tcW w:w="959" w:type="dxa"/>
          </w:tcPr>
          <w:p w14:paraId="1B9FBE0C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药明康德</w:t>
            </w:r>
          </w:p>
        </w:tc>
        <w:tc>
          <w:tcPr>
            <w:tcW w:w="959" w:type="dxa"/>
          </w:tcPr>
          <w:p w14:paraId="5A4A97BE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603259.SH</w:t>
            </w:r>
          </w:p>
        </w:tc>
        <w:tc>
          <w:tcPr>
            <w:tcW w:w="959" w:type="dxa"/>
          </w:tcPr>
          <w:p w14:paraId="7AAC3580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+109.65%</w:t>
            </w:r>
          </w:p>
        </w:tc>
        <w:tc>
          <w:tcPr>
            <w:tcW w:w="959" w:type="dxa"/>
          </w:tcPr>
          <w:p w14:paraId="3B8D7BC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+230.74%</w:t>
            </w:r>
          </w:p>
        </w:tc>
        <w:tc>
          <w:tcPr>
            <w:tcW w:w="959" w:type="dxa"/>
          </w:tcPr>
          <w:p w14:paraId="3DD1E93E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-121.09%</w:t>
            </w:r>
          </w:p>
        </w:tc>
        <w:tc>
          <w:tcPr>
            <w:tcW w:w="959" w:type="dxa"/>
          </w:tcPr>
          <w:p w14:paraId="38EDBD99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1.22</w:t>
            </w:r>
          </w:p>
        </w:tc>
        <w:tc>
          <w:tcPr>
            <w:tcW w:w="959" w:type="dxa"/>
          </w:tcPr>
          <w:p w14:paraId="138F7AC4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-30.73%</w:t>
            </w:r>
          </w:p>
        </w:tc>
        <w:tc>
          <w:tcPr>
            <w:tcW w:w="959" w:type="dxa"/>
          </w:tcPr>
          <w:p w14:paraId="02655F10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50.0%</w:t>
            </w:r>
          </w:p>
        </w:tc>
        <w:tc>
          <w:tcPr>
            <w:tcW w:w="959" w:type="dxa"/>
          </w:tcPr>
          <w:p w14:paraId="05FCA296" w14:textId="77777777" w:rsidR="00DE5AAE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/>
                <w:sz w:val="18"/>
              </w:rPr>
              <w:t>18</w:t>
            </w:r>
          </w:p>
        </w:tc>
      </w:tr>
    </w:tbl>
    <w:p w14:paraId="44DEBAC9" w14:textId="77777777" w:rsidR="00DE5AAE" w:rsidRDefault="00DE5AAE"/>
    <w:p w14:paraId="2FB0865D" w14:textId="77777777" w:rsidR="00DE5AAE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表1 五只股票双均线策略回测结果对比</w:t>
      </w:r>
    </w:p>
    <w:p w14:paraId="221F735B" w14:textId="77777777" w:rsidR="00DE5AAE" w:rsidRDefault="00DE5AAE">
      <w:pPr>
        <w:rPr>
          <w:lang w:eastAsia="zh-CN"/>
        </w:rPr>
      </w:pPr>
    </w:p>
    <w:p w14:paraId="2B992E2C" w14:textId="77777777" w:rsidR="00DE5AAE" w:rsidRDefault="00000000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AF4A05E" wp14:editId="25B903DA">
            <wp:extent cx="5029200" cy="2490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retur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05BB" w14:textId="77777777" w:rsidR="00DE5AAE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图1 五只股票双均线策略 vs 买入持有收益率对比</w:t>
      </w:r>
    </w:p>
    <w:p w14:paraId="7321B62A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图1可以看出，在五只股票中，双均线策略仅在科大讯飞和比亚迪上跑赢了买入持有基准。科大讯飞策略收益+48.16%远超买入持有的+0.97%，超额收益达+47.19%，这是因为科大讯飞近两年整体横盘震荡，均线策略通过高抛低吸获得了显著超额收益。比亚迪策略+16.96%略高于买入持有的+9.29%，在弱市行情中均线策略具有一定优势。</w:t>
      </w:r>
    </w:p>
    <w:p w14:paraId="6F56644A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然而，在强势单边上涨的股票上，双均线策略明显落后于买入持有。中芯国际策略+95.36% vs 买入持有+237.73%，超额收益-142.36%；南大光电策略+55.78% vs 买入持有+205.26%，超额收益-149.48%；药明康德策略+109.65% vs 买入持有+230.74%，超额收益-121.09%。这表明在主升浪行情中，频繁的买卖信号导致策略错失了大段利润，均线策略的"鱼身理论"局限显现——只能在趋势确认后入场，无法吃到行情的头部和尾部。</w:t>
      </w:r>
    </w:p>
    <w:p w14:paraId="60524E9C" w14:textId="77777777" w:rsidR="00DE5AAE" w:rsidRDefault="00DE5AAE">
      <w:pPr>
        <w:rPr>
          <w:lang w:eastAsia="zh-CN"/>
        </w:rPr>
      </w:pPr>
    </w:p>
    <w:p w14:paraId="509EADE2" w14:textId="77777777" w:rsidR="00DE5AAE" w:rsidRDefault="0000000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D58388" wp14:editId="2B23E13C">
            <wp:extent cx="5029200" cy="2492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ri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9090" w14:textId="77777777" w:rsidR="00DE5AAE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图2 五只股票夏普比率与最大回撤对比</w:t>
      </w:r>
    </w:p>
    <w:p w14:paraId="6F93DFDE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图2的风险指标来看，药明康德的夏普比率最高（1.22），说明其风险调整后收益最佳，但同时最大回撤也达到-30.73%，风险敞口较大。科大讯飞虽然策略收益不算最高，但最大回撤仅-15.43%，风险控制表现最优。比亚迪夏普比率最低（0.34），最大回撤-25.89%，说明该策略在比亚迪上的表现较为平庸。中芯国际最大回撤最深（-32.13%），反映出科创板股票波动性较大的特征。</w:t>
      </w:r>
    </w:p>
    <w:p w14:paraId="170035B9" w14:textId="77777777" w:rsidR="00DE5AAE" w:rsidRDefault="00DE5AAE">
      <w:pPr>
        <w:rPr>
          <w:lang w:eastAsia="zh-CN"/>
        </w:rPr>
      </w:pPr>
    </w:p>
    <w:p w14:paraId="7E19A73C" w14:textId="77777777" w:rsidR="00DE5AAE" w:rsidRDefault="00000000">
      <w:pPr>
        <w:spacing w:after="0" w:line="360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三、总结</w:t>
      </w:r>
    </w:p>
    <w:p w14:paraId="3931AF5E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双均线策略的优点：</w:t>
      </w:r>
    </w:p>
    <w:p w14:paraId="42218BAE" w14:textId="5023A53A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1. 逻辑简单清晰，易于理解和实现。金叉买入、死叉卖出的信号规则明确。</w:t>
      </w:r>
    </w:p>
    <w:p w14:paraId="1BF86695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2. 能够有效捕捉趋势行情。在中长期上涨或下跌趋势中，均线策略可以过滤短期噪音，帮助投资者顺势而为，避免逆势操作。</w:t>
      </w:r>
    </w:p>
    <w:p w14:paraId="238429D6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3. 具备一定的风险控制能力。通过死叉信号及时止损离场，可以避免在大幅下跌中被动套牢，最大回撤通常小于买入持有策略。</w:t>
      </w:r>
    </w:p>
    <w:p w14:paraId="2045CA11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4. 可回测、可量化。策略参数明确（均线周期、资金管理、费率等），可以精确回测历史数据，计算夏普比率、胜率、盈亏比等量化指标，为策略优化提供数据支撑。</w:t>
      </w:r>
    </w:p>
    <w:p w14:paraId="3065A10E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双均线策略的缺点：</w:t>
      </w:r>
    </w:p>
    <w:p w14:paraId="45E05660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1. 信号滞后严重。均线本质上是滞后指标，金叉出现时往往已经涨了一段，死叉出现时已经跌了一段，导致买卖点位不够理想，尤其在震荡市中频繁产生虚假信号。</w:t>
      </w:r>
    </w:p>
    <w:p w14:paraId="4A5E74DF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2. 震荡行情表现差。在横盘震荡市场中，短期均线反复穿越长期均线，产生大量无效信号，导致频繁交易、手续费侵蚀利润，胜率显著下降。比亚迪仅31.2%的胜率即为典型。</w:t>
      </w:r>
    </w:p>
    <w:p w14:paraId="24B65A3E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3. 强势行情跑不赢买入持有。在单边大幅上涨的股票上，均线策略频繁进出导致错失大段利润，超额收益为负。本次回测中中芯国际、南大光电、药明康德三只强势股均未跑赢买入持有。</w:t>
      </w:r>
    </w:p>
    <w:p w14:paraId="02B0BE17" w14:textId="77777777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4. 参数敏感性强。不同的均线周期组合（如MA5/15 vs MA10/30 vs MA20/60）在同一只股票上的表现差异巨大，参数优化容易导致过拟合，实盘效果可能大打折扣。</w:t>
      </w:r>
    </w:p>
    <w:p w14:paraId="5179295C" w14:textId="5FEE5802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5. 市场行情影响很大。如果处于市场的主线上，收益将就；但如果市场弱线下，收益波动很大。双均线策略过于简单，无法适应复杂多变的市场环境。</w:t>
      </w:r>
    </w:p>
    <w:p w14:paraId="30348052" w14:textId="77777777" w:rsidR="00DE5AAE" w:rsidRDefault="00DE5AAE">
      <w:pPr>
        <w:rPr>
          <w:lang w:eastAsia="zh-CN"/>
        </w:rPr>
      </w:pPr>
    </w:p>
    <w:p w14:paraId="692BA8B9" w14:textId="73C4BA7D" w:rsidR="00DE5AA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综上所述，双均线策略作为量化交易的入门策略，具有逻辑简单、易于实现的优点，在震荡市和弱市中有一定优势。但其信号滞后、强势行情跑不赢买入持有的固有缺陷也十分明显。</w:t>
      </w:r>
    </w:p>
    <w:sectPr w:rsidR="00DE5AAE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ECA56" w14:textId="77777777" w:rsidR="0049712D" w:rsidRDefault="0049712D" w:rsidP="00585EBC">
      <w:pPr>
        <w:spacing w:after="0" w:line="240" w:lineRule="auto"/>
      </w:pPr>
      <w:r>
        <w:separator/>
      </w:r>
    </w:p>
  </w:endnote>
  <w:endnote w:type="continuationSeparator" w:id="0">
    <w:p w14:paraId="57DD035A" w14:textId="77777777" w:rsidR="0049712D" w:rsidRDefault="0049712D" w:rsidP="00585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6103" w14:textId="77777777" w:rsidR="0049712D" w:rsidRDefault="0049712D" w:rsidP="00585EBC">
      <w:pPr>
        <w:spacing w:after="0" w:line="240" w:lineRule="auto"/>
      </w:pPr>
      <w:r>
        <w:separator/>
      </w:r>
    </w:p>
  </w:footnote>
  <w:footnote w:type="continuationSeparator" w:id="0">
    <w:p w14:paraId="42A9CD08" w14:textId="77777777" w:rsidR="0049712D" w:rsidRDefault="0049712D" w:rsidP="00585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734645">
    <w:abstractNumId w:val="8"/>
  </w:num>
  <w:num w:numId="2" w16cid:durableId="766119481">
    <w:abstractNumId w:val="6"/>
  </w:num>
  <w:num w:numId="3" w16cid:durableId="1014842879">
    <w:abstractNumId w:val="5"/>
  </w:num>
  <w:num w:numId="4" w16cid:durableId="749811239">
    <w:abstractNumId w:val="4"/>
  </w:num>
  <w:num w:numId="5" w16cid:durableId="1033726512">
    <w:abstractNumId w:val="7"/>
  </w:num>
  <w:num w:numId="6" w16cid:durableId="2028017851">
    <w:abstractNumId w:val="3"/>
  </w:num>
  <w:num w:numId="7" w16cid:durableId="1914000642">
    <w:abstractNumId w:val="2"/>
  </w:num>
  <w:num w:numId="8" w16cid:durableId="971054301">
    <w:abstractNumId w:val="1"/>
  </w:num>
  <w:num w:numId="9" w16cid:durableId="78284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12D"/>
    <w:rsid w:val="00540D87"/>
    <w:rsid w:val="00585EBC"/>
    <w:rsid w:val="00AA1D8D"/>
    <w:rsid w:val="00B47730"/>
    <w:rsid w:val="00CB0664"/>
    <w:rsid w:val="00DE5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461C42"/>
  <w14:defaultImageDpi w14:val="300"/>
  <w15:docId w15:val="{0698C217-A1FC-4713-A39B-9B5BF22A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1181</Words>
  <Characters>1419</Characters>
  <Application>Microsoft Office Word</Application>
  <DocSecurity>0</DocSecurity>
  <Lines>70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su</cp:lastModifiedBy>
  <cp:revision>3</cp:revision>
  <cp:lastPrinted>2026-07-11T11:54:00Z</cp:lastPrinted>
  <dcterms:created xsi:type="dcterms:W3CDTF">2013-12-23T23:15:00Z</dcterms:created>
  <dcterms:modified xsi:type="dcterms:W3CDTF">2026-07-11T11:54:00Z</dcterms:modified>
  <cp:category/>
</cp:coreProperties>
</file>