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72"/>
          <w:szCs w:val="72"/>
        </w:rPr>
        <w:t xml:space="preserve">WAYPOINT</w:t>
      </w:r>
    </w:p>
    <w:p>
      <w:pPr>
        <w:spacing w:after="400"/>
        <w:jc w:val="center"/>
      </w:pPr>
      <w:r>
        <w:rPr>
          <w:rFonts w:ascii="Arial" w:cs="Arial" w:eastAsia="Arial" w:hAnsi="Arial"/>
          <w:color w:val="5D6D7E"/>
          <w:sz w:val="28"/>
          <w:szCs w:val="28"/>
        </w:rPr>
        <w:t xml:space="preserve">Your Financial Guide Through a Medical Crisis</w:t>
      </w:r>
    </w:p>
    <w:p>
      <w:pPr>
        <w:pBdr>
          <w:top w:val="single" w:color="85C1E9" w:sz="2" w:space="12"/>
        </w:pBdr>
        <w:spacing w:before="400" w:after="200"/>
        <w:jc w:val="center"/>
      </w:pPr>
      <w:r>
        <w:rPr>
          <w:rFonts w:ascii="Arial" w:cs="Arial" w:eastAsia="Arial" w:hAnsi="Arial"/>
          <w:color w:val="1C2833"/>
          <w:sz w:val="24"/>
          <w:szCs w:val="24"/>
        </w:rPr>
        <w:t xml:space="preserve">Product &amp; Datathon Design Document</w:t>
      </w:r>
    </w:p>
    <w:p>
      <w:pPr>
        <w:spacing w:after="100"/>
        <w:jc w:val="center"/>
      </w:pPr>
      <w:r>
        <w:rPr>
          <w:rFonts w:ascii="Arial" w:cs="Arial" w:eastAsia="Arial" w:hAnsi="Arial"/>
          <w:color w:val="5D6D7E"/>
          <w:sz w:val="20"/>
          <w:szCs w:val="20"/>
        </w:rPr>
        <w:t xml:space="preserve">Version 1.0  |  February 2026</w:t>
      </w:r>
    </w:p>
    <w:p>
      <w:pPr>
        <w:spacing w:after="100"/>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Bdr>
          <w:bottom w:val="single" w:color="1B4F72" w:sz="6" w:space="8"/>
        </w:pBdr>
        <w:spacing w:before="360" w:after="200"/>
      </w:pPr>
      <w:r>
        <w:rPr>
          <w:rFonts w:ascii="Arial" w:cs="Arial" w:eastAsia="Arial" w:hAnsi="Arial"/>
          <w:b/>
          <w:bCs/>
          <w:color w:val="1B4F72"/>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D6EAF8" w:val="clear"/>
            <w:tcMar>
              <w:top w:type="dxa" w:w="160"/>
              <w:left w:type="dxa" w:w="200"/>
              <w:bottom w:type="dxa" w:w="160"/>
              <w:right w:type="dxa" w:w="200"/>
            </w:tcMar>
          </w:tcPr>
          <w:p>
            <w:pPr>
              <w:spacing w:after="0"/>
            </w:pPr>
            <w:r>
              <w:rPr>
                <w:rFonts w:ascii="Arial" w:cs="Arial" w:eastAsia="Arial" w:hAnsi="Arial"/>
                <w:i/>
                <w:iCs/>
                <w:color w:val="1C2833"/>
                <w:sz w:val="22"/>
                <w:szCs w:val="22"/>
              </w:rPr>
              <w:t xml:space="preserve">Waypoint is a real-time financial navigator that helps patients and families facing a medical emergency understand their true out-of-pocket costs, discover hidden financial assistance they qualify for, and choose the smartest financial pathway before the bills arrive.</w:t>
            </w:r>
          </w:p>
        </w:tc>
      </w:tr>
    </w:tbl>
    <w:p>
      <w:pPr>
        <w:spacing w:after="80"/>
      </w:pPr>
    </w:p>
    <w:p>
      <w:pPr>
        <w:spacing w:after="160" w:line="276"/>
      </w:pPr>
      <w:r>
        <w:rPr>
          <w:rFonts w:ascii="Arial" w:cs="Arial" w:eastAsia="Arial" w:hAnsi="Arial"/>
          <w:color w:val="1C2833"/>
          <w:sz w:val="22"/>
          <w:szCs w:val="22"/>
        </w:rPr>
        <w:t xml:space="preserve">When someone faces a sudden medical crisis, they are forced to make financial decisions that could mean the difference between manageable recovery and years of crushing debt. They make these decisions with almost no information: they don't know what anything will cost, they don't know what their insurance actually covers, they don't know that the hospital may have a charity care program that could eliminate most of their bill, and they don't know what questions to ask.</w:t>
      </w:r>
    </w:p>
    <w:p>
      <w:pPr>
        <w:spacing w:after="160" w:line="276"/>
      </w:pPr>
      <w:r>
        <w:rPr>
          <w:rFonts w:ascii="Arial" w:cs="Arial" w:eastAsia="Arial" w:hAnsi="Arial"/>
          <w:color w:val="1C2833"/>
          <w:sz w:val="22"/>
          <w:szCs w:val="22"/>
        </w:rPr>
        <w:t xml:space="preserve">Waypoint solves this by combining hospital pricing data, insurance benefit structures, financial assistance policies, and lending market data into a single, personalized decision engine that works in the moment of crisis. It is designed for the worst day of someone's life.</w:t>
      </w:r>
    </w:p>
    <w:p>
      <w:pPr>
        <w:pStyle w:val="Heading2"/>
        <w:spacing w:before="300" w:after="160"/>
      </w:pPr>
      <w:r>
        <w:rPr>
          <w:rFonts w:ascii="Arial" w:cs="Arial" w:eastAsia="Arial" w:hAnsi="Arial"/>
          <w:b/>
          <w:bCs/>
          <w:color w:val="1C2833"/>
          <w:sz w:val="26"/>
          <w:szCs w:val="26"/>
        </w:rPr>
        <w:t xml:space="preserve">The Core Problem</w:t>
      </w:r>
    </w:p>
    <w:p>
      <w:pPr>
        <w:pStyle w:val="ListParagraph"/>
        <w:numPr>
          <w:ilvl w:val="0"/>
          <w:numId w:val="2"/>
        </w:numPr>
        <w:spacing w:after="100" w:line="276"/>
      </w:pPr>
      <w:r>
        <w:rPr>
          <w:rFonts w:ascii="Arial" w:cs="Arial" w:eastAsia="Arial" w:hAnsi="Arial"/>
          <w:b/>
          <w:bCs/>
          <w:color w:val="1C2833"/>
          <w:sz w:val="22"/>
          <w:szCs w:val="22"/>
        </w:rPr>
        <w:t xml:space="preserve">Medical debt is the #1 cause of bankruptcy </w:t>
      </w:r>
      <w:r>
        <w:rPr>
          <w:rFonts w:ascii="Arial" w:cs="Arial" w:eastAsia="Arial" w:hAnsi="Arial"/>
          <w:color w:val="1C2833"/>
          <w:sz w:val="22"/>
          <w:szCs w:val="22"/>
        </w:rPr>
        <w:t xml:space="preserve">in America.</w:t>
      </w:r>
    </w:p>
    <w:p>
      <w:pPr>
        <w:pStyle w:val="ListParagraph"/>
        <w:numPr>
          <w:ilvl w:val="0"/>
          <w:numId w:val="2"/>
        </w:numPr>
        <w:spacing w:after="100" w:line="276"/>
      </w:pPr>
      <w:r>
        <w:rPr>
          <w:rFonts w:ascii="Arial" w:cs="Arial" w:eastAsia="Arial" w:hAnsi="Arial"/>
          <w:b/>
          <w:bCs/>
          <w:color w:val="1C2833"/>
          <w:sz w:val="22"/>
          <w:szCs w:val="22"/>
        </w:rPr>
        <w:t xml:space="preserve">Billions in charity care goes unclaimed </w:t>
      </w:r>
      <w:r>
        <w:rPr>
          <w:rFonts w:ascii="Arial" w:cs="Arial" w:eastAsia="Arial" w:hAnsi="Arial"/>
          <w:color w:val="1C2833"/>
          <w:sz w:val="22"/>
          <w:szCs w:val="22"/>
        </w:rPr>
        <w:t xml:space="preserve">annually because patients don't know to apply.</w:t>
      </w:r>
    </w:p>
    <w:p>
      <w:pPr>
        <w:pStyle w:val="ListParagraph"/>
        <w:numPr>
          <w:ilvl w:val="0"/>
          <w:numId w:val="2"/>
        </w:numPr>
        <w:spacing w:after="100" w:line="276"/>
      </w:pPr>
      <w:r>
        <w:rPr>
          <w:rFonts w:ascii="Arial" w:cs="Arial" w:eastAsia="Arial" w:hAnsi="Arial"/>
          <w:b/>
          <w:bCs/>
          <w:color w:val="1C2833"/>
          <w:sz w:val="22"/>
          <w:szCs w:val="22"/>
        </w:rPr>
        <w:t xml:space="preserve">Hospital pricing varies by 300%+ </w:t>
      </w:r>
      <w:r>
        <w:rPr>
          <w:rFonts w:ascii="Arial" w:cs="Arial" w:eastAsia="Arial" w:hAnsi="Arial"/>
          <w:color w:val="1C2833"/>
          <w:sz w:val="22"/>
          <w:szCs w:val="22"/>
        </w:rPr>
        <w:t xml:space="preserve">for identical procedures across facilities in the same city.</w:t>
      </w:r>
    </w:p>
    <w:p>
      <w:pPr>
        <w:pStyle w:val="ListParagraph"/>
        <w:numPr>
          <w:ilvl w:val="0"/>
          <w:numId w:val="2"/>
        </w:numPr>
        <w:spacing w:after="100" w:line="276"/>
      </w:pPr>
      <w:r>
        <w:rPr>
          <w:rFonts w:ascii="Arial" w:cs="Arial" w:eastAsia="Arial" w:hAnsi="Arial"/>
          <w:b/>
          <w:bCs/>
          <w:color w:val="1C2833"/>
          <w:sz w:val="22"/>
          <w:szCs w:val="22"/>
        </w:rPr>
        <w:t xml:space="preserve">No existing tool connects </w:t>
      </w:r>
      <w:r>
        <w:rPr>
          <w:rFonts w:ascii="Arial" w:cs="Arial" w:eastAsia="Arial" w:hAnsi="Arial"/>
          <w:color w:val="1C2833"/>
          <w:sz w:val="22"/>
          <w:szCs w:val="22"/>
        </w:rPr>
        <w:t xml:space="preserve">pricing, insurance, charity care, and financial options for the patient in crisis.</w:t>
      </w:r>
    </w:p>
    <w:p>
      <w:pPr>
        <w:pStyle w:val="Heading2"/>
        <w:spacing w:before="300" w:after="160"/>
      </w:pPr>
      <w:r>
        <w:rPr>
          <w:rFonts w:ascii="Arial" w:cs="Arial" w:eastAsia="Arial" w:hAnsi="Arial"/>
          <w:b/>
          <w:bCs/>
          <w:color w:val="1C2833"/>
          <w:sz w:val="26"/>
          <w:szCs w:val="26"/>
        </w:rPr>
        <w:t xml:space="preserve">Who This Is For</w:t>
      </w:r>
    </w:p>
    <w:p>
      <w:pPr>
        <w:spacing w:after="160" w:line="276"/>
      </w:pPr>
      <w:r>
        <w:rPr>
          <w:rFonts w:ascii="Arial" w:cs="Arial" w:eastAsia="Arial" w:hAnsi="Arial"/>
          <w:color w:val="1C2833"/>
          <w:sz w:val="22"/>
          <w:szCs w:val="22"/>
        </w:rPr>
        <w:t xml:space="preserve">The primary user is a patient or family member sitting in a hospital waiting room during a medical emergency. They are scared, overwhelmed, and need the system to do the thinking for them. They don't have time to explore data. They need actionable guidance immediately.</w:t>
      </w:r>
    </w:p>
    <w:p>
      <w:r>
        <w:br w:type="page"/>
      </w:r>
    </w:p>
    <w:p>
      <w:pPr>
        <w:pStyle w:val="Heading1"/>
        <w:pBdr>
          <w:bottom w:val="single" w:color="1B4F72" w:sz="6" w:space="8"/>
        </w:pBdr>
        <w:spacing w:before="360" w:after="200"/>
      </w:pPr>
      <w:r>
        <w:rPr>
          <w:rFonts w:ascii="Arial" w:cs="Arial" w:eastAsia="Arial" w:hAnsi="Arial"/>
          <w:b/>
          <w:bCs/>
          <w:color w:val="1B4F72"/>
          <w:sz w:val="32"/>
          <w:szCs w:val="32"/>
        </w:rPr>
        <w:t xml:space="preserve">2. The User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FDEBD0" w:val="clear"/>
            <w:tcMar>
              <w:top w:type="dxa" w:w="160"/>
              <w:left w:type="dxa" w:w="200"/>
              <w:bottom w:type="dxa" w:w="160"/>
              <w:right w:type="dxa" w:w="200"/>
            </w:tcMar>
          </w:tcPr>
          <w:p>
            <w:pPr>
              <w:spacing w:after="0"/>
            </w:pPr>
            <w:r>
              <w:rPr>
                <w:rFonts w:ascii="Arial" w:cs="Arial" w:eastAsia="Arial" w:hAnsi="Arial"/>
                <w:i/>
                <w:iCs/>
                <w:color w:val="1C2833"/>
                <w:sz w:val="22"/>
                <w:szCs w:val="22"/>
              </w:rPr>
              <w:t xml:space="preserve">Maria's father just had a heart attack. He's in the ER at Memorial Hermann Hospital in Houston. The doctors say he needs a cardiac catheterization, possibly followed by stent placement. Maria is terrified, and on top of the fear, she has no idea what this will cost or what options her family has.</w:t>
            </w:r>
          </w:p>
        </w:tc>
      </w:tr>
    </w:tbl>
    <w:p>
      <w:pPr>
        <w:spacing w:after="80"/>
      </w:pPr>
    </w:p>
    <w:p>
      <w:pPr>
        <w:spacing w:after="160" w:line="276"/>
      </w:pPr>
      <w:r>
        <w:rPr>
          <w:rFonts w:ascii="Arial" w:cs="Arial" w:eastAsia="Arial" w:hAnsi="Arial"/>
          <w:color w:val="1C2833"/>
          <w:sz w:val="22"/>
          <w:szCs w:val="22"/>
        </w:rPr>
        <w:t xml:space="preserve">This is the moment Waypoint is designed for. Here is what happens when Maria opens the app:</w:t>
      </w:r>
    </w:p>
    <w:p>
      <w:pPr>
        <w:pStyle w:val="Heading2"/>
        <w:spacing w:before="300" w:after="160"/>
      </w:pPr>
      <w:r>
        <w:rPr>
          <w:rFonts w:ascii="Arial" w:cs="Arial" w:eastAsia="Arial" w:hAnsi="Arial"/>
          <w:b/>
          <w:bCs/>
          <w:color w:val="1C2833"/>
          <w:sz w:val="26"/>
          <w:szCs w:val="26"/>
        </w:rPr>
        <w:t xml:space="preserve">Step 1: Minimal Input</w:t>
      </w:r>
    </w:p>
    <w:p>
      <w:pPr>
        <w:spacing w:after="160" w:line="276"/>
      </w:pPr>
      <w:r>
        <w:rPr>
          <w:rFonts w:ascii="Arial" w:cs="Arial" w:eastAsia="Arial" w:hAnsi="Arial"/>
          <w:color w:val="1C2833"/>
          <w:sz w:val="22"/>
          <w:szCs w:val="22"/>
        </w:rPr>
        <w:t xml:space="preserve">Maria provides the bare minimum: what happened (heart attack) and where she is (Memorial Hermann). The system uses location services to auto-detect the hospital, and OCR on a photo of her father's insurance card to extract plan details. For information Maria doesn't know (like deductible status), the system estimates using statistical defaults and flags these as approximate.</w:t>
      </w:r>
    </w:p>
    <w:p>
      <w:pPr>
        <w:pStyle w:val="Heading2"/>
        <w:spacing w:before="300" w:after="160"/>
      </w:pPr>
      <w:r>
        <w:rPr>
          <w:rFonts w:ascii="Arial" w:cs="Arial" w:eastAsia="Arial" w:hAnsi="Arial"/>
          <w:b/>
          <w:bCs/>
          <w:color w:val="1C2833"/>
          <w:sz w:val="26"/>
          <w:szCs w:val="26"/>
        </w:rPr>
        <w:t xml:space="preserve">Step 2: Care Pathway and Cost Mapping</w:t>
      </w:r>
    </w:p>
    <w:p>
      <w:pPr>
        <w:spacing w:after="160" w:line="276"/>
      </w:pPr>
      <w:r>
        <w:rPr>
          <w:rFonts w:ascii="Arial" w:cs="Arial" w:eastAsia="Arial" w:hAnsi="Arial"/>
          <w:color w:val="1C2833"/>
          <w:sz w:val="22"/>
          <w:szCs w:val="22"/>
        </w:rPr>
        <w:t xml:space="preserve">Based on the diagnosis and hospital, the system maps the likely care pathway over the next 48-72 hours and estimates costs. For example: the cardiac catheterization procedure typically costs $32,000-$45,000 at this facility. Based on the insurance plan, estimated out-of-pocket exposure is $4,800-$7,200. The system warns that the anesthesiologist may be out-of-network even though the hospital is in-network.</w:t>
      </w:r>
    </w:p>
    <w:p>
      <w:pPr>
        <w:pStyle w:val="Heading2"/>
        <w:spacing w:before="300" w:after="160"/>
      </w:pPr>
      <w:r>
        <w:rPr>
          <w:rFonts w:ascii="Arial" w:cs="Arial" w:eastAsia="Arial" w:hAnsi="Arial"/>
          <w:b/>
          <w:bCs/>
          <w:color w:val="1C2833"/>
          <w:sz w:val="26"/>
          <w:szCs w:val="26"/>
        </w:rPr>
        <w:t xml:space="preserve">Step 3: Financial Pathways (Ranked)</w:t>
      </w:r>
    </w:p>
    <w:p>
      <w:pPr>
        <w:spacing w:after="160" w:line="276"/>
      </w:pPr>
      <w:r>
        <w:rPr>
          <w:rFonts w:ascii="Arial" w:cs="Arial" w:eastAsia="Arial" w:hAnsi="Arial"/>
          <w:color w:val="1C2833"/>
          <w:sz w:val="22"/>
          <w:szCs w:val="22"/>
        </w:rPr>
        <w:t xml:space="preserve">This is the GPS core. The system presents every financial option available, ranked from best to worst:</w:t>
      </w:r>
    </w:p>
    <w:p>
      <w:pPr>
        <w:pStyle w:val="ListParagraph"/>
        <w:numPr>
          <w:ilvl w:val="0"/>
          <w:numId w:val="3"/>
        </w:numPr>
        <w:spacing w:after="100" w:line="276"/>
      </w:pPr>
      <w:r>
        <w:rPr>
          <w:rFonts w:ascii="Arial" w:cs="Arial" w:eastAsia="Arial" w:hAnsi="Arial"/>
          <w:b/>
          <w:bCs/>
          <w:color w:val="1C2833"/>
          <w:sz w:val="22"/>
          <w:szCs w:val="22"/>
        </w:rPr>
        <w:t xml:space="preserve">Charity Care: </w:t>
      </w:r>
      <w:r>
        <w:rPr>
          <w:rFonts w:ascii="Arial" w:cs="Arial" w:eastAsia="Arial" w:hAnsi="Arial"/>
          <w:color w:val="1C2833"/>
          <w:sz w:val="22"/>
          <w:szCs w:val="22"/>
        </w:rPr>
        <w:t xml:space="preserve">Based on household income, her father may qualify for a 40-60% bill reduction through the hospital's financial assistance program. Application deadline: 30 days post-discharge. Required documents listed.</w:t>
      </w:r>
    </w:p>
    <w:p>
      <w:pPr>
        <w:pStyle w:val="ListParagraph"/>
        <w:numPr>
          <w:ilvl w:val="0"/>
          <w:numId w:val="3"/>
        </w:numPr>
        <w:spacing w:after="100" w:line="276"/>
      </w:pPr>
      <w:r>
        <w:rPr>
          <w:rFonts w:ascii="Arial" w:cs="Arial" w:eastAsia="Arial" w:hAnsi="Arial"/>
          <w:b/>
          <w:bCs/>
          <w:color w:val="1C2833"/>
          <w:sz w:val="22"/>
          <w:szCs w:val="22"/>
        </w:rPr>
        <w:t xml:space="preserve">Hospital Payment Plan: </w:t>
      </w:r>
      <w:r>
        <w:rPr>
          <w:rFonts w:ascii="Arial" w:cs="Arial" w:eastAsia="Arial" w:hAnsi="Arial"/>
          <w:color w:val="1C2833"/>
          <w:sz w:val="22"/>
          <w:szCs w:val="22"/>
        </w:rPr>
        <w:t xml:space="preserve">Memorial Hermann offers 12-month interest-free payment plans. Estimated monthly payment: $400-$600.</w:t>
      </w:r>
    </w:p>
    <w:p>
      <w:pPr>
        <w:pStyle w:val="ListParagraph"/>
        <w:numPr>
          <w:ilvl w:val="0"/>
          <w:numId w:val="3"/>
        </w:numPr>
        <w:spacing w:after="100" w:line="276"/>
      </w:pPr>
      <w:r>
        <w:rPr>
          <w:rFonts w:ascii="Arial" w:cs="Arial" w:eastAsia="Arial" w:hAnsi="Arial"/>
          <w:b/>
          <w:bCs/>
          <w:color w:val="1C2833"/>
          <w:sz w:val="22"/>
          <w:szCs w:val="22"/>
        </w:rPr>
        <w:t xml:space="preserve">Bill Negotiation: </w:t>
      </w:r>
      <w:r>
        <w:rPr>
          <w:rFonts w:ascii="Arial" w:cs="Arial" w:eastAsia="Arial" w:hAnsi="Arial"/>
          <w:color w:val="1C2833"/>
          <w:sz w:val="22"/>
          <w:szCs w:val="22"/>
        </w:rPr>
        <w:t xml:space="preserve">Historically, patients at this hospital who negotiate out-of-pocket amounts see a median reduction of 23%. Key leverage points identified.</w:t>
      </w:r>
    </w:p>
    <w:p>
      <w:pPr>
        <w:pStyle w:val="ListParagraph"/>
        <w:numPr>
          <w:ilvl w:val="0"/>
          <w:numId w:val="3"/>
        </w:numPr>
        <w:spacing w:after="100" w:line="276"/>
      </w:pPr>
      <w:r>
        <w:rPr>
          <w:rFonts w:ascii="Arial" w:cs="Arial" w:eastAsia="Arial" w:hAnsi="Arial"/>
          <w:b/>
          <w:bCs/>
          <w:color w:val="1C2833"/>
          <w:sz w:val="22"/>
          <w:szCs w:val="22"/>
        </w:rPr>
        <w:t xml:space="preserve">Medical Loan: </w:t>
      </w:r>
      <w:r>
        <w:rPr>
          <w:rFonts w:ascii="Arial" w:cs="Arial" w:eastAsia="Arial" w:hAnsi="Arial"/>
          <w:color w:val="1C2833"/>
          <w:sz w:val="22"/>
          <w:szCs w:val="22"/>
        </w:rPr>
        <w:t xml:space="preserve">CareCredit at estimated 15.9% APR vs. personal loan at 10.2% APR, with total cost comparison over 24 months.</w:t>
      </w:r>
    </w:p>
    <w:p>
      <w:pPr>
        <w:pStyle w:val="Heading2"/>
        <w:spacing w:before="300" w:after="160"/>
      </w:pPr>
      <w:r>
        <w:rPr>
          <w:rFonts w:ascii="Arial" w:cs="Arial" w:eastAsia="Arial" w:hAnsi="Arial"/>
          <w:b/>
          <w:bCs/>
          <w:color w:val="1C2833"/>
          <w:sz w:val="26"/>
          <w:szCs w:val="26"/>
        </w:rPr>
        <w:t xml:space="preserve">Step 4: Action Checklist</w:t>
      </w:r>
    </w:p>
    <w:p>
      <w:pPr>
        <w:spacing w:after="160" w:line="276"/>
      </w:pPr>
      <w:r>
        <w:rPr>
          <w:rFonts w:ascii="Arial" w:cs="Arial" w:eastAsia="Arial" w:hAnsi="Arial"/>
          <w:color w:val="1C2833"/>
          <w:sz w:val="22"/>
          <w:szCs w:val="22"/>
        </w:rPr>
        <w:t xml:space="preserve">The system arms Maria with specific, actionable steps: questions to ask the billing department, documents to gather, deadlines she cannot miss, and hidden traps to avoid (like signing a payment agreement before checking charity care eligibility).</w:t>
      </w:r>
    </w:p>
    <w:p>
      <w:r>
        <w:br w:type="page"/>
      </w:r>
    </w:p>
    <w:p>
      <w:pPr>
        <w:pStyle w:val="Heading1"/>
        <w:pBdr>
          <w:bottom w:val="single" w:color="1B4F72" w:sz="6" w:space="8"/>
        </w:pBdr>
        <w:spacing w:before="360" w:after="200"/>
      </w:pPr>
      <w:r>
        <w:rPr>
          <w:rFonts w:ascii="Arial" w:cs="Arial" w:eastAsia="Arial" w:hAnsi="Arial"/>
          <w:b/>
          <w:bCs/>
          <w:color w:val="1B4F72"/>
          <w:sz w:val="32"/>
          <w:szCs w:val="32"/>
        </w:rPr>
        <w:t xml:space="preserve">3. System Architecture: The Four-Layer Model</w:t>
      </w:r>
    </w:p>
    <w:p>
      <w:pPr>
        <w:spacing w:after="160" w:line="276"/>
      </w:pPr>
      <w:r>
        <w:rPr>
          <w:rFonts w:ascii="Arial" w:cs="Arial" w:eastAsia="Arial" w:hAnsi="Arial"/>
          <w:color w:val="1C2833"/>
          <w:sz w:val="22"/>
          <w:szCs w:val="22"/>
        </w:rPr>
        <w:t xml:space="preserve">Waypoint operates through four interconnected layers. Each layer feeds the next, transforming raw patient input into personalized, ranked financial pathways.</w:t>
      </w:r>
    </w:p>
    <w:p>
      <w:pPr>
        <w:pStyle w:val="Heading2"/>
        <w:spacing w:before="300" w:after="160"/>
      </w:pPr>
      <w:r>
        <w:rPr>
          <w:rFonts w:ascii="Arial" w:cs="Arial" w:eastAsia="Arial" w:hAnsi="Arial"/>
          <w:b/>
          <w:bCs/>
          <w:color w:val="1C2833"/>
          <w:sz w:val="26"/>
          <w:szCs w:val="26"/>
        </w:rPr>
        <w:t xml:space="preserve">Layer 1: Patient Inputs</w:t>
      </w:r>
    </w:p>
    <w:p>
      <w:pPr>
        <w:spacing w:after="160" w:line="276"/>
      </w:pPr>
      <w:r>
        <w:rPr>
          <w:rFonts w:ascii="Arial" w:cs="Arial" w:eastAsia="Arial" w:hAnsi="Arial"/>
          <w:color w:val="1C2833"/>
          <w:sz w:val="22"/>
          <w:szCs w:val="22"/>
        </w:rPr>
        <w:t xml:space="preserve">The system collects six key data points, designed to be gathered in under two minutes during a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Input</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Collection Method</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Fallback if Unknown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Diagnosis / ER Reason</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Patient's plain language description</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Broad category estimate (e.g. 'cardiac event')</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Insurance Plan Details</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OCR scan of insurance card</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Zip-code median plan profile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Hospital / Location</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GPS auto-detection</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Manual entry</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Household Income</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Self-reported range</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Zip-code median household income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Deductible Status</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Self-reported or estimated</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Time-of-year statistical estimate</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Family Size &amp; Age</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Self-reported</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Federal Poverty Level default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D6EAF8" w:val="clear"/>
            <w:tcMar>
              <w:top w:type="dxa" w:w="160"/>
              <w:left w:type="dxa" w:w="200"/>
              <w:bottom w:type="dxa" w:w="160"/>
              <w:right w:type="dxa" w:w="200"/>
            </w:tcMar>
          </w:tcPr>
          <w:p>
            <w:pPr>
              <w:spacing w:after="0"/>
            </w:pPr>
            <w:r>
              <w:rPr>
                <w:rFonts w:ascii="Arial" w:cs="Arial" w:eastAsia="Arial" w:hAnsi="Arial"/>
                <w:i/>
                <w:iCs/>
                <w:color w:val="1C2833"/>
                <w:sz w:val="22"/>
                <w:szCs w:val="22"/>
              </w:rPr>
              <w:t xml:space="preserve">Design principle: The system must be useful from the very first input. Each additional data point refines the output but is not required to begin generating value. Progressive disclosure, not upfront forms.</w:t>
            </w:r>
          </w:p>
        </w:tc>
      </w:tr>
    </w:tbl>
    <w:p>
      <w:pPr>
        <w:pStyle w:val="Heading2"/>
        <w:spacing w:before="300" w:after="160"/>
      </w:pPr>
      <w:r>
        <w:rPr>
          <w:rFonts w:ascii="Arial" w:cs="Arial" w:eastAsia="Arial" w:hAnsi="Arial"/>
          <w:b/>
          <w:bCs/>
          <w:color w:val="1C2833"/>
          <w:sz w:val="26"/>
          <w:szCs w:val="26"/>
        </w:rPr>
        <w:t xml:space="preserve">Layer 2: Processing Engine</w:t>
      </w:r>
    </w:p>
    <w:p>
      <w:pPr>
        <w:spacing w:after="160" w:line="276"/>
      </w:pPr>
      <w:r>
        <w:rPr>
          <w:rFonts w:ascii="Arial" w:cs="Arial" w:eastAsia="Arial" w:hAnsi="Arial"/>
          <w:color w:val="1C2833"/>
          <w:sz w:val="22"/>
          <w:szCs w:val="22"/>
        </w:rPr>
        <w:t xml:space="preserve">Four sequential processing modules transform raw inputs into actionable financial intelligence:</w:t>
      </w:r>
    </w:p>
    <w:p>
      <w:pPr>
        <w:spacing w:before="240" w:after="120"/>
      </w:pPr>
      <w:r>
        <w:rPr>
          <w:rFonts w:ascii="Arial" w:cs="Arial" w:eastAsia="Arial" w:hAnsi="Arial"/>
          <w:b/>
          <w:bCs/>
          <w:color w:val="1B4F72"/>
          <w:sz w:val="22"/>
          <w:szCs w:val="22"/>
        </w:rPr>
        <w:t xml:space="preserve">Module A: ICD-10 / DRG Code Mapper</w:t>
      </w:r>
    </w:p>
    <w:p>
      <w:pPr>
        <w:spacing w:after="160" w:line="276"/>
      </w:pPr>
      <w:r>
        <w:rPr>
          <w:rFonts w:ascii="Arial" w:cs="Arial" w:eastAsia="Arial" w:hAnsi="Arial"/>
          <w:color w:val="1C2833"/>
          <w:sz w:val="22"/>
          <w:szCs w:val="22"/>
        </w:rPr>
        <w:t xml:space="preserve">Translates the patient's plain-language description into standardized medical billing codes. Uses NLP entity extraction (e.g., Amazon Comprehend Medical or open-source Spark NLP for Healthcare) to map free text to ICD-10-CM diagnosis codes, then feeds these into the CMS MS-DRG Grouper to determine the Diagnosis Related Group. This grouping determines the baseline cost of the hospital stay.</w:t>
      </w:r>
    </w:p>
    <w:p>
      <w:pPr>
        <w:spacing w:before="240" w:after="120"/>
      </w:pPr>
      <w:r>
        <w:rPr>
          <w:rFonts w:ascii="Arial" w:cs="Arial" w:eastAsia="Arial" w:hAnsi="Arial"/>
          <w:b/>
          <w:bCs/>
          <w:color w:val="1B4F72"/>
          <w:sz w:val="22"/>
          <w:szCs w:val="22"/>
        </w:rPr>
        <w:t xml:space="preserve">Module B: Care Pathway Predictor</w:t>
      </w:r>
    </w:p>
    <w:p>
      <w:pPr>
        <w:spacing w:after="160" w:line="276"/>
      </w:pPr>
      <w:r>
        <w:rPr>
          <w:rFonts w:ascii="Arial" w:cs="Arial" w:eastAsia="Arial" w:hAnsi="Arial"/>
          <w:color w:val="1C2833"/>
          <w:sz w:val="22"/>
          <w:szCs w:val="22"/>
        </w:rPr>
        <w:t xml:space="preserve">Given the DRG and hospital, predicts the likely sequence of procedures, specialist consultations, and follow-up care over the coming days and weeks. Uses historical claims data patterns to model the most common care pathways, including probability-weighted branches (e.g., 60% chance stent placement follows catheterization, 40% chance medical management only).</w:t>
      </w:r>
    </w:p>
    <w:p>
      <w:pPr>
        <w:spacing w:before="240" w:after="120"/>
      </w:pPr>
      <w:r>
        <w:rPr>
          <w:rFonts w:ascii="Arial" w:cs="Arial" w:eastAsia="Arial" w:hAnsi="Arial"/>
          <w:b/>
          <w:bCs/>
          <w:color w:val="1B4F72"/>
          <w:sz w:val="22"/>
          <w:szCs w:val="22"/>
        </w:rPr>
        <w:t xml:space="preserve">Module C: Cost Estimation Engine</w:t>
      </w:r>
    </w:p>
    <w:p>
      <w:pPr>
        <w:spacing w:after="160" w:line="276"/>
      </w:pPr>
      <w:r>
        <w:rPr>
          <w:rFonts w:ascii="Arial" w:cs="Arial" w:eastAsia="Arial" w:hAnsi="Arial"/>
          <w:color w:val="1C2833"/>
          <w:sz w:val="22"/>
          <w:szCs w:val="22"/>
        </w:rPr>
        <w:t xml:space="preserve">The ML-driven core. Uses a two-part model (the health econometrics standard since the RAND Health Insurance Experiment):</w:t>
      </w:r>
    </w:p>
    <w:p>
      <w:pPr>
        <w:pStyle w:val="ListParagraph"/>
        <w:numPr>
          <w:ilvl w:val="0"/>
          <w:numId w:val="4"/>
        </w:numPr>
        <w:spacing w:after="100" w:line="276"/>
      </w:pPr>
      <w:r>
        <w:rPr>
          <w:rFonts w:ascii="Arial" w:cs="Arial" w:eastAsia="Arial" w:hAnsi="Arial"/>
          <w:b/>
          <w:bCs/>
          <w:color w:val="1C2833"/>
          <w:sz w:val="22"/>
          <w:szCs w:val="22"/>
        </w:rPr>
        <w:t xml:space="preserve">Part 1 (Logistic): </w:t>
      </w:r>
      <w:r>
        <w:rPr>
          <w:rFonts w:ascii="Arial" w:cs="Arial" w:eastAsia="Arial" w:hAnsi="Arial"/>
          <w:color w:val="1C2833"/>
          <w:sz w:val="22"/>
          <w:szCs w:val="22"/>
        </w:rPr>
        <w:t xml:space="preserve">Predicts whether any cost occurs for each service category.</w:t>
      </w:r>
    </w:p>
    <w:p>
      <w:pPr>
        <w:pStyle w:val="ListParagraph"/>
        <w:numPr>
          <w:ilvl w:val="0"/>
          <w:numId w:val="4"/>
        </w:numPr>
        <w:spacing w:after="100" w:line="276"/>
      </w:pPr>
      <w:r>
        <w:rPr>
          <w:rFonts w:ascii="Arial" w:cs="Arial" w:eastAsia="Arial" w:hAnsi="Arial"/>
          <w:b/>
          <w:bCs/>
          <w:color w:val="1C2833"/>
          <w:sz w:val="22"/>
          <w:szCs w:val="22"/>
        </w:rPr>
        <w:t xml:space="preserve">Part 2 (GLM + Gamma): </w:t>
      </w:r>
      <w:r>
        <w:rPr>
          <w:rFonts w:ascii="Arial" w:cs="Arial" w:eastAsia="Arial" w:hAnsi="Arial"/>
          <w:color w:val="1C2833"/>
          <w:sz w:val="22"/>
          <w:szCs w:val="22"/>
        </w:rPr>
        <w:t xml:space="preserve">Predicts expected cost conditional on incurrence.</w:t>
      </w:r>
    </w:p>
    <w:p>
      <w:pPr>
        <w:spacing w:after="160" w:line="276"/>
      </w:pPr>
      <w:r>
        <w:rPr>
          <w:rFonts w:ascii="Arial" w:cs="Arial" w:eastAsia="Arial" w:hAnsi="Arial"/>
          <w:color w:val="1C2833"/>
          <w:sz w:val="22"/>
          <w:szCs w:val="22"/>
        </w:rPr>
        <w:t xml:space="preserve">Combined: E(cost) = P(cost &gt; 0) x E(cost | cost &gt; 0). Research shows XGBoost achieves the best overall predictive performance for healthcare cost prediction, with neural networks and ridge regression strongest for high-cost outliers. The recommended approach stacks XGBoost, GLM, and ANN predictions via a meta-learner.</w:t>
      </w:r>
    </w:p>
    <w:p>
      <w:pPr>
        <w:spacing w:after="80"/>
      </w:pPr>
    </w:p>
    <w:p>
      <w:pPr>
        <w:spacing w:after="160" w:line="276"/>
      </w:pPr>
      <w:r>
        <w:rPr>
          <w:rFonts w:ascii="Arial" w:cs="Arial" w:eastAsia="Arial" w:hAnsi="Arial"/>
          <w:color w:val="1C2833"/>
          <w:sz w:val="22"/>
          <w:szCs w:val="22"/>
        </w:rPr>
        <w:t xml:space="preserve">Top predictive features ranked: prior-year costs, diagnosis/HCC categories, age, number of chronic conditions, prior utilization, BMI, smoking status, insurance plan type, geographic region, and prescription drug utilization.</w:t>
      </w:r>
    </w:p>
    <w:p>
      <w:pPr>
        <w:spacing w:before="240" w:after="120"/>
      </w:pPr>
      <w:r>
        <w:rPr>
          <w:rFonts w:ascii="Arial" w:cs="Arial" w:eastAsia="Arial" w:hAnsi="Arial"/>
          <w:b/>
          <w:bCs/>
          <w:color w:val="1B4F72"/>
          <w:sz w:val="22"/>
          <w:szCs w:val="22"/>
        </w:rPr>
        <w:t xml:space="preserve">Module D: Patient OOP Calculator</w:t>
      </w:r>
    </w:p>
    <w:p>
      <w:pPr>
        <w:spacing w:after="160" w:line="276"/>
      </w:pPr>
      <w:r>
        <w:rPr>
          <w:rFonts w:ascii="Arial" w:cs="Arial" w:eastAsia="Arial" w:hAnsi="Arial"/>
          <w:color w:val="1C2833"/>
          <w:sz w:val="22"/>
          <w:szCs w:val="22"/>
        </w:rPr>
        <w:t xml:space="preserve">Deterministic (not ML). Applies the patient's specific insurance benefit structure: deductible remaining, coinsurance percentage, copay amounts, and out-of-pocket maximum cap. For out-of-network scenarios, calculates balance billing exposure. Note: the No Surprises Act now prohibits balance billing for emergency services, but ancillary providers may still bill separately.</w:t>
      </w:r>
    </w:p>
    <w:p>
      <w:pPr>
        <w:spacing w:before="240" w:after="120"/>
      </w:pPr>
      <w:r>
        <w:rPr>
          <w:rFonts w:ascii="Arial" w:cs="Arial" w:eastAsia="Arial" w:hAnsi="Arial"/>
          <w:b/>
          <w:bCs/>
          <w:color w:val="1B4F72"/>
          <w:sz w:val="22"/>
          <w:szCs w:val="22"/>
        </w:rPr>
        <w:t xml:space="preserve">Module E: Financial Pathway Ranker</w:t>
      </w:r>
    </w:p>
    <w:p>
      <w:pPr>
        <w:spacing w:after="160" w:line="276"/>
      </w:pPr>
      <w:r>
        <w:rPr>
          <w:rFonts w:ascii="Arial" w:cs="Arial" w:eastAsia="Arial" w:hAnsi="Arial"/>
          <w:color w:val="1C2833"/>
          <w:sz w:val="22"/>
          <w:szCs w:val="22"/>
        </w:rPr>
        <w:t xml:space="preserve">Evaluates and ranks all available financial pathways using a hybrid rules engine plus scoring model:</w:t>
      </w:r>
    </w:p>
    <w:p>
      <w:pPr>
        <w:pStyle w:val="ListParagraph"/>
        <w:numPr>
          <w:ilvl w:val="0"/>
          <w:numId w:val="5"/>
        </w:numPr>
        <w:spacing w:after="100" w:line="276"/>
      </w:pPr>
      <w:r>
        <w:rPr>
          <w:rFonts w:ascii="Arial" w:cs="Arial" w:eastAsia="Arial" w:hAnsi="Arial"/>
          <w:b/>
          <w:bCs/>
          <w:color w:val="1C2833"/>
          <w:sz w:val="22"/>
          <w:szCs w:val="22"/>
        </w:rPr>
        <w:t xml:space="preserve">Charity Care Screening: </w:t>
      </w:r>
      <w:r>
        <w:rPr>
          <w:rFonts w:ascii="Arial" w:cs="Arial" w:eastAsia="Arial" w:hAnsi="Arial"/>
          <w:color w:val="1C2833"/>
          <w:sz w:val="22"/>
          <w:szCs w:val="22"/>
        </w:rPr>
        <w:t xml:space="preserve">Matches patient income (% of Federal Poverty Level) against the specific hospital's 501(r) thresholds. Common pattern: free care below 200% FPL, sliding scale 200-400% FPL.</w:t>
      </w:r>
    </w:p>
    <w:p>
      <w:pPr>
        <w:pStyle w:val="ListParagraph"/>
        <w:numPr>
          <w:ilvl w:val="0"/>
          <w:numId w:val="5"/>
        </w:numPr>
        <w:spacing w:after="100" w:line="276"/>
      </w:pPr>
      <w:r>
        <w:rPr>
          <w:rFonts w:ascii="Arial" w:cs="Arial" w:eastAsia="Arial" w:hAnsi="Arial"/>
          <w:b/>
          <w:bCs/>
          <w:color w:val="1C2833"/>
          <w:sz w:val="22"/>
          <w:szCs w:val="22"/>
        </w:rPr>
        <w:t xml:space="preserve">Disease-Specific Grants: </w:t>
      </w:r>
      <w:r>
        <w:rPr>
          <w:rFonts w:ascii="Arial" w:cs="Arial" w:eastAsia="Arial" w:hAnsi="Arial"/>
          <w:color w:val="1C2833"/>
          <w:sz w:val="22"/>
          <w:szCs w:val="22"/>
        </w:rPr>
        <w:t xml:space="preserve">Checks eligibility for condition-specific financial assistance programs.</w:t>
      </w:r>
    </w:p>
    <w:p>
      <w:pPr>
        <w:pStyle w:val="ListParagraph"/>
        <w:numPr>
          <w:ilvl w:val="0"/>
          <w:numId w:val="5"/>
        </w:numPr>
        <w:spacing w:after="100" w:line="276"/>
      </w:pPr>
      <w:r>
        <w:rPr>
          <w:rFonts w:ascii="Arial" w:cs="Arial" w:eastAsia="Arial" w:hAnsi="Arial"/>
          <w:b/>
          <w:bCs/>
          <w:color w:val="1C2833"/>
          <w:sz w:val="22"/>
          <w:szCs w:val="22"/>
        </w:rPr>
        <w:t xml:space="preserve">Hospital Payment Plans: </w:t>
      </w:r>
      <w:r>
        <w:rPr>
          <w:rFonts w:ascii="Arial" w:cs="Arial" w:eastAsia="Arial" w:hAnsi="Arial"/>
          <w:color w:val="1C2833"/>
          <w:sz w:val="22"/>
          <w:szCs w:val="22"/>
        </w:rPr>
        <w:t xml:space="preserve">Retrieves hospital-specific payment plan terms (typically 0% interest, 12-24 months).</w:t>
      </w:r>
    </w:p>
    <w:p>
      <w:pPr>
        <w:pStyle w:val="ListParagraph"/>
        <w:numPr>
          <w:ilvl w:val="0"/>
          <w:numId w:val="5"/>
        </w:numPr>
        <w:spacing w:after="100" w:line="276"/>
      </w:pPr>
      <w:r>
        <w:rPr>
          <w:rFonts w:ascii="Arial" w:cs="Arial" w:eastAsia="Arial" w:hAnsi="Arial"/>
          <w:b/>
          <w:bCs/>
          <w:color w:val="1C2833"/>
          <w:sz w:val="22"/>
          <w:szCs w:val="22"/>
        </w:rPr>
        <w:t xml:space="preserve">HSA/FSA Funds: </w:t>
      </w:r>
      <w:r>
        <w:rPr>
          <w:rFonts w:ascii="Arial" w:cs="Arial" w:eastAsia="Arial" w:hAnsi="Arial"/>
          <w:color w:val="1C2833"/>
          <w:sz w:val="22"/>
          <w:szCs w:val="22"/>
        </w:rPr>
        <w:t xml:space="preserve">Flags tax-advantaged accounts if applicable.</w:t>
      </w:r>
    </w:p>
    <w:p>
      <w:pPr>
        <w:pStyle w:val="ListParagraph"/>
        <w:numPr>
          <w:ilvl w:val="0"/>
          <w:numId w:val="5"/>
        </w:numPr>
        <w:spacing w:after="100" w:line="276"/>
      </w:pPr>
      <w:r>
        <w:rPr>
          <w:rFonts w:ascii="Arial" w:cs="Arial" w:eastAsia="Arial" w:hAnsi="Arial"/>
          <w:b/>
          <w:bCs/>
          <w:color w:val="1C2833"/>
          <w:sz w:val="22"/>
          <w:szCs w:val="22"/>
        </w:rPr>
        <w:t xml:space="preserve">Bill Negotiation: </w:t>
      </w:r>
      <w:r>
        <w:rPr>
          <w:rFonts w:ascii="Arial" w:cs="Arial" w:eastAsia="Arial" w:hAnsi="Arial"/>
          <w:color w:val="1C2833"/>
          <w:sz w:val="22"/>
          <w:szCs w:val="22"/>
        </w:rPr>
        <w:t xml:space="preserve">Provides benchmark data for negotiation leverage, including median reduction rates at that hospital.</w:t>
      </w:r>
    </w:p>
    <w:p>
      <w:pPr>
        <w:pStyle w:val="ListParagraph"/>
        <w:numPr>
          <w:ilvl w:val="0"/>
          <w:numId w:val="5"/>
        </w:numPr>
        <w:spacing w:after="100" w:line="276"/>
      </w:pPr>
      <w:r>
        <w:rPr>
          <w:rFonts w:ascii="Arial" w:cs="Arial" w:eastAsia="Arial" w:hAnsi="Arial"/>
          <w:b/>
          <w:bCs/>
          <w:color w:val="1C2833"/>
          <w:sz w:val="22"/>
          <w:szCs w:val="22"/>
        </w:rPr>
        <w:t xml:space="preserve">Medical Loans: </w:t>
      </w:r>
      <w:r>
        <w:rPr>
          <w:rFonts w:ascii="Arial" w:cs="Arial" w:eastAsia="Arial" w:hAnsi="Arial"/>
          <w:color w:val="1C2833"/>
          <w:sz w:val="22"/>
          <w:szCs w:val="22"/>
        </w:rPr>
        <w:t xml:space="preserve">Compares lending options with estimated rates based on credit profile, showing total cost over time.</w:t>
      </w:r>
    </w:p>
    <w:p>
      <w:pPr>
        <w:pStyle w:val="Heading2"/>
        <w:spacing w:before="300" w:after="160"/>
      </w:pPr>
      <w:r>
        <w:rPr>
          <w:rFonts w:ascii="Arial" w:cs="Arial" w:eastAsia="Arial" w:hAnsi="Arial"/>
          <w:b/>
          <w:bCs/>
          <w:color w:val="1C2833"/>
          <w:sz w:val="26"/>
          <w:szCs w:val="26"/>
        </w:rPr>
        <w:t xml:space="preserve">Layer 3: Data Sources</w:t>
      </w:r>
    </w:p>
    <w:p>
      <w:pPr>
        <w:spacing w:after="160" w:line="276"/>
      </w:pPr>
      <w:r>
        <w:rPr>
          <w:rFonts w:ascii="Arial" w:cs="Arial" w:eastAsia="Arial" w:hAnsi="Arial"/>
          <w:color w:val="1C2833"/>
          <w:sz w:val="22"/>
          <w:szCs w:val="22"/>
        </w:rPr>
        <w:t xml:space="preserve">The engine draws from six key public data sources, each requiring different ingestion and normalization approaches: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00"/>
        <w:gridCol w:w="24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Dataset</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Contents</w:t>
            </w:r>
          </w:p>
        </w:tc>
        <w:tc>
          <w:tcPr>
            <w:tcW w:type="dxa" w:w="24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Access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Hospital MRF Prices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~6,000 hospital websites</w:t>
            </w:r>
          </w:p>
        </w:tc>
        <w:tc>
          <w:tcPr>
            <w:tcW w:type="dxa" w:w="2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Gross charges, cash prices, payer-negotiated rates by CPT/DRG</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Free; no central repo; DoltHub aggregates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Medicare Fee Schedules</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data.cms.gov</w:t>
            </w:r>
          </w:p>
        </w:tc>
        <w:tc>
          <w:tcPr>
            <w:tcW w:type="dxa" w:w="27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Payment rates by CPT (physician), MS-DRG (inpatient), APC (outpatient)</w:t>
            </w:r>
          </w:p>
        </w:tc>
        <w:tc>
          <w:tcPr>
            <w:tcW w:type="dxa" w:w="24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Free; open API; updated annually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Insurance Plan Benefits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data.healthcare.gov</w:t>
            </w:r>
          </w:p>
        </w:tc>
        <w:tc>
          <w:tcPr>
            <w:tcW w:type="dxa" w:w="2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Copays, deductibles, coinsurance, OOP max by plan and region</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Free CSV; covers ~37 FFM states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Charity Care Policies</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Hospital 501(r) filings, Dollar For</w:t>
            </w:r>
          </w:p>
        </w:tc>
        <w:tc>
          <w:tcPr>
            <w:tcW w:type="dxa" w:w="27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Income thresholds, discount %, application windows, required docs</w:t>
            </w:r>
          </w:p>
        </w:tc>
        <w:tc>
          <w:tcPr>
            <w:tcW w:type="dxa" w:w="24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Partially public; Dollar For DB proprietary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Lending Rate Data</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CFPB, Fed Reserve, SEC filings</w:t>
            </w:r>
          </w:p>
        </w:tc>
        <w:tc>
          <w:tcPr>
            <w:tcW w:type="dxa" w:w="2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Medical loan APRs, CareCredit terms, complaint patterns</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Free via CFPB API</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Claims &amp; Expenditure</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MEPS (AHRQ), CMS DE-SynPUF</w:t>
            </w:r>
          </w:p>
        </w:tc>
        <w:tc>
          <w:tcPr>
            <w:tcW w:type="dxa" w:w="27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Person-level OOP costs, utilization, insurance source breakdown</w:t>
            </w:r>
          </w:p>
        </w:tc>
        <w:tc>
          <w:tcPr>
            <w:tcW w:type="dxa" w:w="24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Free; ~30K individuals/year (MEPS)</w:t>
            </w:r>
          </w:p>
        </w:tc>
      </w:tr>
    </w:tbl>
    <w:p>
      <w:pPr>
        <w:spacing w:after="80"/>
      </w:pPr>
    </w:p>
    <w:p>
      <w:pPr>
        <w:pStyle w:val="Heading2"/>
        <w:spacing w:before="300" w:after="160"/>
      </w:pPr>
      <w:r>
        <w:rPr>
          <w:rFonts w:ascii="Arial" w:cs="Arial" w:eastAsia="Arial" w:hAnsi="Arial"/>
          <w:b/>
          <w:bCs/>
          <w:color w:val="1C2833"/>
          <w:sz w:val="26"/>
          <w:szCs w:val="26"/>
        </w:rPr>
        <w:t xml:space="preserve">Layer 4: Patient Output</w:t>
      </w:r>
    </w:p>
    <w:p>
      <w:pPr>
        <w:spacing w:after="160" w:line="276"/>
      </w:pPr>
      <w:r>
        <w:rPr>
          <w:rFonts w:ascii="Arial" w:cs="Arial" w:eastAsia="Arial" w:hAnsi="Arial"/>
          <w:color w:val="1C2833"/>
          <w:sz w:val="22"/>
          <w:szCs w:val="22"/>
        </w:rPr>
        <w:t xml:space="preserve">The final output delivered to the patient/family member consists of four components:</w:t>
      </w:r>
    </w:p>
    <w:p>
      <w:pPr>
        <w:pStyle w:val="ListParagraph"/>
        <w:numPr>
          <w:ilvl w:val="0"/>
          <w:numId w:val="6"/>
        </w:numPr>
        <w:spacing w:after="100" w:line="276"/>
      </w:pPr>
      <w:r>
        <w:rPr>
          <w:rFonts w:ascii="Arial" w:cs="Arial" w:eastAsia="Arial" w:hAnsi="Arial"/>
          <w:b/>
          <w:bCs/>
          <w:color w:val="1C2833"/>
          <w:sz w:val="22"/>
          <w:szCs w:val="22"/>
        </w:rPr>
        <w:t xml:space="preserve">Ranked Financial Pathways: </w:t>
      </w:r>
      <w:r>
        <w:rPr>
          <w:rFonts w:ascii="Arial" w:cs="Arial" w:eastAsia="Arial" w:hAnsi="Arial"/>
          <w:color w:val="1C2833"/>
          <w:sz w:val="22"/>
          <w:szCs w:val="22"/>
        </w:rPr>
        <w:t xml:space="preserve">Every available option from best (charity care) to last resort (medical loans), with total cost, monthly burden, and tradeoffs for each.</w:t>
      </w:r>
    </w:p>
    <w:p>
      <w:pPr>
        <w:pStyle w:val="ListParagraph"/>
        <w:numPr>
          <w:ilvl w:val="0"/>
          <w:numId w:val="6"/>
        </w:numPr>
        <w:spacing w:after="100" w:line="276"/>
      </w:pPr>
      <w:r>
        <w:rPr>
          <w:rFonts w:ascii="Arial" w:cs="Arial" w:eastAsia="Arial" w:hAnsi="Arial"/>
          <w:b/>
          <w:bCs/>
          <w:color w:val="1C2833"/>
          <w:sz w:val="22"/>
          <w:szCs w:val="22"/>
        </w:rPr>
        <w:t xml:space="preserve">Cost Timeline: </w:t>
      </w:r>
      <w:r>
        <w:rPr>
          <w:rFonts w:ascii="Arial" w:cs="Arial" w:eastAsia="Arial" w:hAnsi="Arial"/>
          <w:color w:val="1C2833"/>
          <w:sz w:val="22"/>
          <w:szCs w:val="22"/>
        </w:rPr>
        <w:t xml:space="preserve">Estimated total out-of-pocket and monthly burden for each pathway over 6-24 months.</w:t>
      </w:r>
    </w:p>
    <w:p>
      <w:pPr>
        <w:pStyle w:val="ListParagraph"/>
        <w:numPr>
          <w:ilvl w:val="0"/>
          <w:numId w:val="6"/>
        </w:numPr>
        <w:spacing w:after="100" w:line="276"/>
      </w:pPr>
      <w:r>
        <w:rPr>
          <w:rFonts w:ascii="Arial" w:cs="Arial" w:eastAsia="Arial" w:hAnsi="Arial"/>
          <w:b/>
          <w:bCs/>
          <w:color w:val="1C2833"/>
          <w:sz w:val="22"/>
          <w:szCs w:val="22"/>
        </w:rPr>
        <w:t xml:space="preserve">Action Checklist: </w:t>
      </w:r>
      <w:r>
        <w:rPr>
          <w:rFonts w:ascii="Arial" w:cs="Arial" w:eastAsia="Arial" w:hAnsi="Arial"/>
          <w:color w:val="1C2833"/>
          <w:sz w:val="22"/>
          <w:szCs w:val="22"/>
        </w:rPr>
        <w:t xml:space="preserve">Specific questions to ask the medical team and billing department, documents to gather, application deadlines, and hidden traps to avoid.</w:t>
      </w:r>
    </w:p>
    <w:p>
      <w:pPr>
        <w:pStyle w:val="ListParagraph"/>
        <w:numPr>
          <w:ilvl w:val="0"/>
          <w:numId w:val="6"/>
        </w:numPr>
        <w:spacing w:after="100" w:line="276"/>
      </w:pPr>
      <w:r>
        <w:rPr>
          <w:rFonts w:ascii="Arial" w:cs="Arial" w:eastAsia="Arial" w:hAnsi="Arial"/>
          <w:b/>
          <w:bCs/>
          <w:color w:val="1C2833"/>
          <w:sz w:val="22"/>
          <w:szCs w:val="22"/>
        </w:rPr>
        <w:t xml:space="preserve">Confidence Indicators: </w:t>
      </w:r>
      <w:r>
        <w:rPr>
          <w:rFonts w:ascii="Arial" w:cs="Arial" w:eastAsia="Arial" w:hAnsi="Arial"/>
          <w:color w:val="1C2833"/>
          <w:sz w:val="22"/>
          <w:szCs w:val="22"/>
        </w:rPr>
        <w:t xml:space="preserve">Clear flagging of which estimates are based on strong data vs. statistical defaults, with guidance on how to refine uncertain inputs.</w:t>
      </w:r>
    </w:p>
    <w:p>
      <w:r>
        <w:br w:type="page"/>
      </w:r>
    </w:p>
    <w:p>
      <w:pPr>
        <w:pStyle w:val="Heading1"/>
        <w:pBdr>
          <w:bottom w:val="single" w:color="1B4F72" w:sz="6" w:space="8"/>
        </w:pBdr>
        <w:spacing w:before="360" w:after="200"/>
      </w:pPr>
      <w:r>
        <w:rPr>
          <w:rFonts w:ascii="Arial" w:cs="Arial" w:eastAsia="Arial" w:hAnsi="Arial"/>
          <w:b/>
          <w:bCs/>
          <w:color w:val="1B4F72"/>
          <w:sz w:val="32"/>
          <w:szCs w:val="32"/>
        </w:rPr>
        <w:t xml:space="preserve">4. Critical Data Challenges</w:t>
      </w:r>
    </w:p>
    <w:p>
      <w:pPr>
        <w:spacing w:after="160" w:line="276"/>
      </w:pPr>
      <w:r>
        <w:rPr>
          <w:rFonts w:ascii="Arial" w:cs="Arial" w:eastAsia="Arial" w:hAnsi="Arial"/>
          <w:color w:val="1C2833"/>
          <w:sz w:val="22"/>
          <w:szCs w:val="22"/>
        </w:rPr>
        <w:t xml:space="preserve">The defining technical challenge is not data availability but data quality, normalization, and integration across fragmented sources.</w:t>
      </w:r>
    </w:p>
    <w:p>
      <w:pPr>
        <w:pStyle w:val="Heading2"/>
        <w:spacing w:before="300" w:after="160"/>
      </w:pPr>
      <w:r>
        <w:rPr>
          <w:rFonts w:ascii="Arial" w:cs="Arial" w:eastAsia="Arial" w:hAnsi="Arial"/>
          <w:b/>
          <w:bCs/>
          <w:color w:val="1C2833"/>
          <w:sz w:val="26"/>
          <w:szCs w:val="26"/>
        </w:rPr>
        <w:t xml:space="preserve">Hospital Price Transparency Data Quality</w:t>
      </w:r>
    </w:p>
    <w:p>
      <w:pPr>
        <w:spacing w:after="160" w:line="276"/>
      </w:pPr>
      <w:r>
        <w:rPr>
          <w:rFonts w:ascii="Arial" w:cs="Arial" w:eastAsia="Arial" w:hAnsi="Arial"/>
          <w:color w:val="1C2833"/>
          <w:sz w:val="22"/>
          <w:szCs w:val="22"/>
        </w:rPr>
        <w:t xml:space="preserve">CMS price transparency compliance is deeply contested. CMS claims ~70% of hospitals are fully compliant. Independent audits report as low as 21%. Regardless, the data that exists suffers from documented quality problems:</w:t>
      </w:r>
    </w:p>
    <w:p>
      <w:pPr>
        <w:pStyle w:val="ListParagraph"/>
        <w:numPr>
          <w:ilvl w:val="0"/>
          <w:numId w:val="7"/>
        </w:numPr>
        <w:spacing w:after="100" w:line="276"/>
      </w:pPr>
      <w:r>
        <w:rPr>
          <w:rFonts w:ascii="Arial" w:cs="Arial" w:eastAsia="Arial" w:hAnsi="Arial"/>
          <w:color w:val="1C2833"/>
          <w:sz w:val="22"/>
          <w:szCs w:val="22"/>
        </w:rPr>
        <w:t xml:space="preserve">Inconsistent file formats (JSON, CSV, malformed XML) across hospitals</w:t>
      </w:r>
    </w:p>
    <w:p>
      <w:pPr>
        <w:pStyle w:val="ListParagraph"/>
        <w:numPr>
          <w:ilvl w:val="0"/>
          <w:numId w:val="7"/>
        </w:numPr>
        <w:spacing w:after="100" w:line="276"/>
      </w:pPr>
      <w:r>
        <w:rPr>
          <w:rFonts w:ascii="Arial" w:cs="Arial" w:eastAsia="Arial" w:hAnsi="Arial"/>
          <w:color w:val="1C2833"/>
          <w:sz w:val="22"/>
          <w:szCs w:val="22"/>
        </w:rPr>
        <w:t xml:space="preserve">Non-standard payer naming (some hospitals use anonymous labels like 'Payer 1')</w:t>
      </w:r>
    </w:p>
    <w:p>
      <w:pPr>
        <w:pStyle w:val="ListParagraph"/>
        <w:numPr>
          <w:ilvl w:val="0"/>
          <w:numId w:val="7"/>
        </w:numPr>
        <w:spacing w:after="100" w:line="276"/>
      </w:pPr>
      <w:r>
        <w:rPr>
          <w:rFonts w:ascii="Arial" w:cs="Arial" w:eastAsia="Arial" w:hAnsi="Arial"/>
          <w:color w:val="1C2833"/>
          <w:sz w:val="22"/>
          <w:szCs w:val="22"/>
        </w:rPr>
        <w:t xml:space="preserve">Missing negotiated rates (48.6% of hospitals per some audits)</w:t>
      </w:r>
    </w:p>
    <w:p>
      <w:pPr>
        <w:pStyle w:val="ListParagraph"/>
        <w:numPr>
          <w:ilvl w:val="0"/>
          <w:numId w:val="7"/>
        </w:numPr>
        <w:spacing w:after="100" w:line="276"/>
      </w:pPr>
      <w:r>
        <w:rPr>
          <w:rFonts w:ascii="Arial" w:cs="Arial" w:eastAsia="Arial" w:hAnsi="Arial"/>
          <w:color w:val="1C2833"/>
          <w:sz w:val="22"/>
          <w:szCs w:val="22"/>
        </w:rPr>
        <w:t xml:space="preserve">Outlier prices that are likely erroneous</w:t>
      </w:r>
    </w:p>
    <w:p>
      <w:pPr>
        <w:pStyle w:val="ListParagraph"/>
        <w:numPr>
          <w:ilvl w:val="0"/>
          <w:numId w:val="7"/>
        </w:numPr>
        <w:spacing w:after="100" w:line="276"/>
      </w:pPr>
      <w:r>
        <w:rPr>
          <w:rFonts w:ascii="Arial" w:cs="Arial" w:eastAsia="Arial" w:hAnsi="Arial"/>
          <w:color w:val="1C2833"/>
          <w:sz w:val="22"/>
          <w:szCs w:val="22"/>
        </w:rPr>
        <w:t xml:space="preserve">Algorithm-based rates that cannot be expressed as static dollar amounts</w:t>
      </w:r>
    </w:p>
    <w:p>
      <w:pPr>
        <w:pStyle w:val="ListParagraph"/>
        <w:numPr>
          <w:ilvl w:val="0"/>
          <w:numId w:val="7"/>
        </w:numPr>
        <w:spacing w:after="100" w:line="276"/>
      </w:pPr>
      <w:r>
        <w:rPr>
          <w:rFonts w:ascii="Arial" w:cs="Arial" w:eastAsia="Arial" w:hAnsi="Arial"/>
          <w:color w:val="1C2833"/>
          <w:sz w:val="22"/>
          <w:szCs w:val="22"/>
        </w:rPr>
        <w:t xml:space="preserve">Robot.txt blocking of pricing files by some hospitals</w:t>
      </w:r>
    </w:p>
    <w:p>
      <w:pPr>
        <w:pStyle w:val="Heading2"/>
        <w:spacing w:before="300" w:after="160"/>
      </w:pPr>
      <w:r>
        <w:rPr>
          <w:rFonts w:ascii="Arial" w:cs="Arial" w:eastAsia="Arial" w:hAnsi="Arial"/>
          <w:b/>
          <w:bCs/>
          <w:color w:val="1C2833"/>
          <w:sz w:val="26"/>
          <w:szCs w:val="26"/>
        </w:rPr>
        <w:t xml:space="preserve">Critical Data Gaps</w:t>
      </w:r>
    </w:p>
    <w:p>
      <w:pPr>
        <w:spacing w:after="160" w:line="276"/>
      </w:pPr>
      <w:r>
        <w:rPr>
          <w:rFonts w:ascii="Arial" w:cs="Arial" w:eastAsia="Arial" w:hAnsi="Arial"/>
          <w:color w:val="1C2833"/>
          <w:sz w:val="22"/>
          <w:szCs w:val="22"/>
        </w:rPr>
        <w:t xml:space="preserve">No public source fills these gaps, which affect cost prediction accuracy:</w:t>
      </w:r>
    </w:p>
    <w:p>
      <w:pPr>
        <w:pStyle w:val="ListParagraph"/>
        <w:numPr>
          <w:ilvl w:val="0"/>
          <w:numId w:val="8"/>
        </w:numPr>
        <w:spacing w:after="100" w:line="276"/>
      </w:pPr>
      <w:r>
        <w:rPr>
          <w:rFonts w:ascii="Arial" w:cs="Arial" w:eastAsia="Arial" w:hAnsi="Arial"/>
          <w:color w:val="1C2833"/>
          <w:sz w:val="22"/>
          <w:szCs w:val="22"/>
        </w:rPr>
        <w:t xml:space="preserve">Patient-specific deductible and accumulator status (requires real-time payer integration)</w:t>
      </w:r>
    </w:p>
    <w:p>
      <w:pPr>
        <w:pStyle w:val="ListParagraph"/>
        <w:numPr>
          <w:ilvl w:val="0"/>
          <w:numId w:val="8"/>
        </w:numPr>
        <w:spacing w:after="100" w:line="276"/>
      </w:pPr>
      <w:r>
        <w:rPr>
          <w:rFonts w:ascii="Arial" w:cs="Arial" w:eastAsia="Arial" w:hAnsi="Arial"/>
          <w:color w:val="1C2833"/>
          <w:sz w:val="22"/>
          <w:szCs w:val="22"/>
        </w:rPr>
        <w:t xml:space="preserve">Physician professional fees billed separately from facility fees</w:t>
      </w:r>
    </w:p>
    <w:p>
      <w:pPr>
        <w:pStyle w:val="ListParagraph"/>
        <w:numPr>
          <w:ilvl w:val="0"/>
          <w:numId w:val="8"/>
        </w:numPr>
        <w:spacing w:after="100" w:line="276"/>
      </w:pPr>
      <w:r>
        <w:rPr>
          <w:rFonts w:ascii="Arial" w:cs="Arial" w:eastAsia="Arial" w:hAnsi="Arial"/>
          <w:color w:val="1C2833"/>
          <w:sz w:val="22"/>
          <w:szCs w:val="22"/>
        </w:rPr>
        <w:t xml:space="preserve">Ancillary service costs from independent anesthesiology/radiology/pathology groups</w:t>
      </w:r>
    </w:p>
    <w:p>
      <w:pPr>
        <w:pStyle w:val="ListParagraph"/>
        <w:numPr>
          <w:ilvl w:val="0"/>
          <w:numId w:val="8"/>
        </w:numPr>
        <w:spacing w:after="100" w:line="276"/>
      </w:pPr>
      <w:r>
        <w:rPr>
          <w:rFonts w:ascii="Arial" w:cs="Arial" w:eastAsia="Arial" w:hAnsi="Arial"/>
          <w:color w:val="1C2833"/>
          <w:sz w:val="22"/>
          <w:szCs w:val="22"/>
        </w:rPr>
        <w:t xml:space="preserve">Complication and readmission costs</w:t>
      </w:r>
    </w:p>
    <w:p>
      <w:pPr>
        <w:pStyle w:val="ListParagraph"/>
        <w:numPr>
          <w:ilvl w:val="0"/>
          <w:numId w:val="8"/>
        </w:numPr>
        <w:spacing w:after="100" w:line="276"/>
      </w:pPr>
      <w:r>
        <w:rPr>
          <w:rFonts w:ascii="Arial" w:cs="Arial" w:eastAsia="Arial" w:hAnsi="Arial"/>
          <w:color w:val="1C2833"/>
          <w:sz w:val="22"/>
          <w:szCs w:val="22"/>
        </w:rPr>
        <w:t xml:space="preserve">Post-acute care costs (rehab, physical therapy, follow-up visits)</w:t>
      </w:r>
    </w:p>
    <w:p>
      <w:pPr>
        <w:pStyle w:val="ListParagraph"/>
        <w:numPr>
          <w:ilvl w:val="0"/>
          <w:numId w:val="8"/>
        </w:numPr>
        <w:spacing w:after="100" w:line="276"/>
      </w:pPr>
      <w:r>
        <w:rPr>
          <w:rFonts w:ascii="Arial" w:cs="Arial" w:eastAsia="Arial" w:hAnsi="Arial"/>
          <w:color w:val="1C2833"/>
          <w:sz w:val="22"/>
          <w:szCs w:val="22"/>
        </w:rPr>
        <w:t xml:space="preserve">The Advanced Explanation of Benefits (AEOB) provision has not been implemented despite a January 2022 statutory deadline</w:t>
      </w:r>
    </w:p>
    <w:p>
      <w:pPr>
        <w:pStyle w:val="Heading2"/>
        <w:spacing w:before="300" w:after="160"/>
      </w:pPr>
      <w:r>
        <w:rPr>
          <w:rFonts w:ascii="Arial" w:cs="Arial" w:eastAsia="Arial" w:hAnsi="Arial"/>
          <w:b/>
          <w:bCs/>
          <w:color w:val="1C2833"/>
          <w:sz w:val="26"/>
          <w:szCs w:val="26"/>
        </w:rPr>
        <w:t xml:space="preserve">HIPAA Considerations</w:t>
      </w:r>
    </w:p>
    <w:p>
      <w:pPr>
        <w:spacing w:after="160" w:line="276"/>
      </w:pPr>
      <w:r>
        <w:rPr>
          <w:rFonts w:ascii="Arial" w:cs="Arial" w:eastAsia="Arial" w:hAnsi="Arial"/>
          <w:color w:val="1C2833"/>
          <w:sz w:val="22"/>
          <w:szCs w:val="22"/>
        </w:rPr>
        <w:t xml:space="preserve">Critical design advantage: hospital MRF data, insurer Transparency in Coverage data, and Medicare fee schedules contain no patient information and are not PHI. A cost estimation tool built entirely on publicly posted pricing data does not trigger HIPAA requirements. Only when incorporating actual claims data or patient-specific benefit information does HIPAA apply.</w:t>
      </w:r>
    </w:p>
    <w:p>
      <w:r>
        <w:br w:type="page"/>
      </w:r>
    </w:p>
    <w:p>
      <w:pPr>
        <w:pStyle w:val="Heading1"/>
        <w:pBdr>
          <w:bottom w:val="single" w:color="1B4F72" w:sz="6" w:space="8"/>
        </w:pBdr>
        <w:spacing w:before="360" w:after="200"/>
      </w:pPr>
      <w:r>
        <w:rPr>
          <w:rFonts w:ascii="Arial" w:cs="Arial" w:eastAsia="Arial" w:hAnsi="Arial"/>
          <w:b/>
          <w:bCs/>
          <w:color w:val="1B4F72"/>
          <w:sz w:val="32"/>
          <w:szCs w:val="32"/>
        </w:rPr>
        <w:t xml:space="preserve">5. Differentiation from Existing Solutions</w:t>
      </w:r>
    </w:p>
    <w:p>
      <w:pPr>
        <w:pStyle w:val="Heading2"/>
        <w:spacing w:before="300" w:after="160"/>
      </w:pPr>
      <w:r>
        <w:rPr>
          <w:rFonts w:ascii="Arial" w:cs="Arial" w:eastAsia="Arial" w:hAnsi="Arial"/>
          <w:b/>
          <w:bCs/>
          <w:color w:val="1C2833"/>
          <w:sz w:val="26"/>
          <w:szCs w:val="26"/>
        </w:rPr>
        <w:t xml:space="preserve">Waypoint vs. Caduceo (Hackathon Project)</w:t>
      </w:r>
    </w:p>
    <w:p>
      <w:pPr>
        <w:spacing w:after="160" w:line="276"/>
      </w:pPr>
      <w:r>
        <w:rPr>
          <w:rFonts w:ascii="Arial" w:cs="Arial" w:eastAsia="Arial" w:hAnsi="Arial"/>
          <w:color w:val="1C2833"/>
          <w:sz w:val="22"/>
          <w:szCs w:val="22"/>
        </w:rPr>
        <w:t xml:space="preserve">Caduceo is a Streamlit-based chatbot for healthcare cost estimation, integrating MongoDB and Snowflake to provide data on procedure costs, insurance rates, and hospital ratings. While there is surface-level overlap, the fundamental differences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w:t>
            </w:r>
          </w:p>
        </w:tc>
        <w:tc>
          <w:tcPr>
            <w:tcW w:type="dxa" w:w="3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Caduceo</w:t>
            </w:r>
          </w:p>
        </w:tc>
        <w:tc>
          <w:tcPr>
            <w:tcW w:type="dxa" w:w="3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Waypoint</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Core Function</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Cost lookup and data exploration</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Crisis-moment financial decision engine</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User Mindset</w:t>
            </w:r>
          </w:p>
        </w:tc>
        <w:tc>
          <w:tcPr>
            <w:tcW w:type="dxa" w:w="33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Planning: calm, browsing, comparing</w:t>
            </w:r>
          </w:p>
        </w:tc>
        <w:tc>
          <w:tcPr>
            <w:tcW w:type="dxa" w:w="33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Crisis: scared, overwhelmed, needs guidance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Personalization</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General procedure costs by region</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Your insurance, your income, your hospital, your OOP</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Financial Pathways</w:t>
            </w:r>
          </w:p>
        </w:tc>
        <w:tc>
          <w:tcPr>
            <w:tcW w:type="dxa" w:w="33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None</w:t>
            </w:r>
          </w:p>
        </w:tc>
        <w:tc>
          <w:tcPr>
            <w:tcW w:type="dxa" w:w="33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Ranked options: charity care, payment plans, negotiation, loans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Charity Care</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Not included</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Automated eligibility screening against hospital 501(r) policies</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Output</w:t>
            </w:r>
          </w:p>
        </w:tc>
        <w:tc>
          <w:tcPr>
            <w:tcW w:type="dxa" w:w="33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Data and chatbot responses</w:t>
            </w:r>
          </w:p>
        </w:tc>
        <w:tc>
          <w:tcPr>
            <w:tcW w:type="dxa" w:w="33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Actionable decision guide with steps, deadlines, questions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Data Challenge</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Data retrieval from 2 databases</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Normalization and integration of 6+ fragmented public sources</w:t>
            </w:r>
          </w:p>
        </w:tc>
      </w:tr>
    </w:tbl>
    <w:p>
      <w:pPr>
        <w:spacing w:after="80"/>
      </w:pPr>
    </w:p>
    <w:p>
      <w:pPr>
        <w:pStyle w:val="Heading2"/>
        <w:spacing w:before="300" w:after="160"/>
      </w:pPr>
      <w:r>
        <w:rPr>
          <w:rFonts w:ascii="Arial" w:cs="Arial" w:eastAsia="Arial" w:hAnsi="Arial"/>
          <w:b/>
          <w:bCs/>
          <w:color w:val="1C2833"/>
          <w:sz w:val="26"/>
          <w:szCs w:val="26"/>
        </w:rPr>
        <w:t xml:space="preserve">Waypoint vs. Industry Solutions</w:t>
      </w:r>
    </w:p>
    <w:p>
      <w:pPr>
        <w:pStyle w:val="ListParagraph"/>
        <w:numPr>
          <w:ilvl w:val="0"/>
          <w:numId w:val="9"/>
        </w:numPr>
        <w:spacing w:after="100" w:line="276"/>
      </w:pPr>
      <w:r>
        <w:rPr>
          <w:rFonts w:ascii="Arial" w:cs="Arial" w:eastAsia="Arial" w:hAnsi="Arial"/>
          <w:b/>
          <w:bCs/>
          <w:color w:val="1C2833"/>
          <w:sz w:val="22"/>
          <w:szCs w:val="22"/>
        </w:rPr>
        <w:t xml:space="preserve">Turquoise Health: </w:t>
      </w:r>
      <w:r>
        <w:rPr>
          <w:rFonts w:ascii="Arial" w:cs="Arial" w:eastAsia="Arial" w:hAnsi="Arial"/>
          <w:color w:val="1C2833"/>
          <w:sz w:val="22"/>
          <w:szCs w:val="22"/>
        </w:rPr>
        <w:t xml:space="preserve">Most comprehensive price data platform ($55M raised), but serves industry customers (insurers, employers), not patients directly.</w:t>
      </w:r>
    </w:p>
    <w:p>
      <w:pPr>
        <w:pStyle w:val="ListParagraph"/>
        <w:numPr>
          <w:ilvl w:val="0"/>
          <w:numId w:val="9"/>
        </w:numPr>
        <w:spacing w:after="100" w:line="276"/>
      </w:pPr>
      <w:r>
        <w:rPr>
          <w:rFonts w:ascii="Arial" w:cs="Arial" w:eastAsia="Arial" w:hAnsi="Arial"/>
          <w:b/>
          <w:bCs/>
          <w:color w:val="1C2833"/>
          <w:sz w:val="22"/>
          <w:szCs w:val="22"/>
        </w:rPr>
        <w:t xml:space="preserve">Goodbill: </w:t>
      </w:r>
      <w:r>
        <w:rPr>
          <w:rFonts w:ascii="Arial" w:cs="Arial" w:eastAsia="Arial" w:hAnsi="Arial"/>
          <w:color w:val="1C2833"/>
          <w:sz w:val="22"/>
          <w:szCs w:val="22"/>
        </w:rPr>
        <w:t xml:space="preserve">Automates post-care bill review and catches billing errors, but operates after bills arrive, not during the crisis moment.</w:t>
      </w:r>
    </w:p>
    <w:p>
      <w:pPr>
        <w:pStyle w:val="ListParagraph"/>
        <w:numPr>
          <w:ilvl w:val="0"/>
          <w:numId w:val="9"/>
        </w:numPr>
        <w:spacing w:after="100" w:line="276"/>
      </w:pPr>
      <w:r>
        <w:rPr>
          <w:rFonts w:ascii="Arial" w:cs="Arial" w:eastAsia="Arial" w:hAnsi="Arial"/>
          <w:b/>
          <w:bCs/>
          <w:color w:val="1C2833"/>
          <w:sz w:val="22"/>
          <w:szCs w:val="22"/>
        </w:rPr>
        <w:t xml:space="preserve">Dollar For: </w:t>
      </w:r>
      <w:r>
        <w:rPr>
          <w:rFonts w:ascii="Arial" w:cs="Arial" w:eastAsia="Arial" w:hAnsi="Arial"/>
          <w:color w:val="1C2833"/>
          <w:sz w:val="22"/>
          <w:szCs w:val="22"/>
        </w:rPr>
        <w:t xml:space="preserve">Has helped eliminate $131.7M+ in medical debt via charity care connections, but is a nonprofit service, not a self-service tool.</w:t>
      </w:r>
    </w:p>
    <w:p>
      <w:pPr>
        <w:pStyle w:val="ListParagraph"/>
        <w:numPr>
          <w:ilvl w:val="0"/>
          <w:numId w:val="9"/>
        </w:numPr>
        <w:spacing w:after="100" w:line="276"/>
      </w:pPr>
      <w:r>
        <w:rPr>
          <w:rFonts w:ascii="Arial" w:cs="Arial" w:eastAsia="Arial" w:hAnsi="Arial"/>
          <w:b/>
          <w:bCs/>
          <w:color w:val="1C2833"/>
          <w:sz w:val="22"/>
          <w:szCs w:val="22"/>
        </w:rPr>
        <w:t xml:space="preserve">Castlight Health: </w:t>
      </w:r>
      <w:r>
        <w:rPr>
          <w:rFonts w:ascii="Arial" w:cs="Arial" w:eastAsia="Arial" w:hAnsi="Arial"/>
          <w:color w:val="1C2833"/>
          <w:sz w:val="22"/>
          <w:szCs w:val="22"/>
        </w:rPr>
        <w:t xml:space="preserve">IPO'd at $2B valuation for cost transparency, declined to $1.64/share. The cautionary tale: consumer engagement with healthcare cost tools remains the fundamental unsolved problem.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D6EAF8" w:val="clear"/>
            <w:tcMar>
              <w:top w:type="dxa" w:w="160"/>
              <w:left w:type="dxa" w:w="200"/>
              <w:bottom w:type="dxa" w:w="160"/>
              <w:right w:type="dxa" w:w="200"/>
            </w:tcMar>
          </w:tcPr>
          <w:p>
            <w:pPr>
              <w:spacing w:after="0"/>
            </w:pPr>
            <w:r>
              <w:rPr>
                <w:rFonts w:ascii="Arial" w:cs="Arial" w:eastAsia="Arial" w:hAnsi="Arial"/>
                <w:i/>
                <w:iCs/>
                <w:color w:val="1C2833"/>
                <w:sz w:val="22"/>
                <w:szCs w:val="22"/>
              </w:rPr>
              <w:t xml:space="preserve">No existing product, startup, or hackathon project has integrated hospital pricing, insurance benefits, charity care policies, and financial pathway recommendations into a single patient-facing tool designed for the crisis moment.</w:t>
            </w:r>
          </w:p>
        </w:tc>
      </w:tr>
    </w:tbl>
    <w:p>
      <w:r>
        <w:br w:type="page"/>
      </w:r>
    </w:p>
    <w:p>
      <w:pPr>
        <w:pStyle w:val="Heading1"/>
        <w:pBdr>
          <w:bottom w:val="single" w:color="1B4F72" w:sz="6" w:space="8"/>
        </w:pBdr>
        <w:spacing w:before="360" w:after="200"/>
      </w:pPr>
      <w:r>
        <w:rPr>
          <w:rFonts w:ascii="Arial" w:cs="Arial" w:eastAsia="Arial" w:hAnsi="Arial"/>
          <w:b/>
          <w:bCs/>
          <w:color w:val="1B4F72"/>
          <w:sz w:val="32"/>
          <w:szCs w:val="32"/>
        </w:rPr>
        <w:t xml:space="preserve">6. Datathon Challenge Design</w:t>
      </w:r>
    </w:p>
    <w:p>
      <w:pPr>
        <w:pStyle w:val="Heading2"/>
        <w:spacing w:before="300" w:after="160"/>
      </w:pPr>
      <w:r>
        <w:rPr>
          <w:rFonts w:ascii="Arial" w:cs="Arial" w:eastAsia="Arial" w:hAnsi="Arial"/>
          <w:b/>
          <w:bCs/>
          <w:color w:val="1C2833"/>
          <w:sz w:val="26"/>
          <w:szCs w:val="26"/>
        </w:rPr>
        <w:t xml:space="preserve">Challenge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D5F5E3" w:val="clear"/>
            <w:tcMar>
              <w:top w:type="dxa" w:w="160"/>
              <w:left w:type="dxa" w:w="200"/>
              <w:bottom w:type="dxa" w:w="160"/>
              <w:right w:type="dxa" w:w="200"/>
            </w:tcMar>
          </w:tcPr>
          <w:p>
            <w:pPr>
              <w:spacing w:after="0"/>
            </w:pPr>
            <w:r>
              <w:rPr>
                <w:rFonts w:ascii="Arial" w:cs="Arial" w:eastAsia="Arial" w:hAnsi="Arial"/>
                <w:i/>
                <w:iCs/>
                <w:color w:val="1C2833"/>
                <w:sz w:val="22"/>
                <w:szCs w:val="22"/>
              </w:rPr>
              <w:t xml:space="preserve">Build a Financial GPS that takes a patient in a medical crisis and maps out every financial pathway available to them, ranked from best to worst, personalized to their insurance, income, hospital, and diagnosis.</w:t>
            </w:r>
          </w:p>
        </w:tc>
      </w:tr>
    </w:tbl>
    <w:p>
      <w:pPr>
        <w:spacing w:after="80"/>
      </w:pPr>
    </w:p>
    <w:p>
      <w:pPr>
        <w:pStyle w:val="Heading2"/>
        <w:spacing w:before="300" w:after="160"/>
      </w:pPr>
      <w:r>
        <w:rPr>
          <w:rFonts w:ascii="Arial" w:cs="Arial" w:eastAsia="Arial" w:hAnsi="Arial"/>
          <w:b/>
          <w:bCs/>
          <w:color w:val="1C2833"/>
          <w:sz w:val="26"/>
          <w:szCs w:val="26"/>
        </w:rPr>
        <w:t xml:space="preserve">Participant Datasets</w:t>
      </w:r>
    </w:p>
    <w:p>
      <w:pPr>
        <w:spacing w:after="160" w:line="276"/>
      </w:pPr>
      <w:r>
        <w:rPr>
          <w:rFonts w:ascii="Arial" w:cs="Arial" w:eastAsia="Arial" w:hAnsi="Arial"/>
          <w:color w:val="1C2833"/>
          <w:sz w:val="22"/>
          <w:szCs w:val="22"/>
        </w:rPr>
        <w:t xml:space="preserve">Organizers would provide a curated data package combining real public data with synthetic patient profiles:</w:t>
      </w:r>
    </w:p>
    <w:p>
      <w:pPr>
        <w:pStyle w:val="ListParagraph"/>
        <w:numPr>
          <w:ilvl w:val="0"/>
          <w:numId w:val="10"/>
        </w:numPr>
        <w:spacing w:after="100" w:line="276"/>
      </w:pPr>
      <w:r>
        <w:rPr>
          <w:rFonts w:ascii="Arial" w:cs="Arial" w:eastAsia="Arial" w:hAnsi="Arial"/>
          <w:b/>
          <w:bCs/>
          <w:color w:val="1C2833"/>
          <w:sz w:val="22"/>
          <w:szCs w:val="22"/>
        </w:rPr>
        <w:t xml:space="preserve">Synthea Synthetic Patients: </w:t>
      </w:r>
      <w:r>
        <w:rPr>
          <w:rFonts w:ascii="Arial" w:cs="Arial" w:eastAsia="Arial" w:hAnsi="Arial"/>
          <w:color w:val="1C2833"/>
          <w:sz w:val="22"/>
          <w:szCs w:val="22"/>
        </w:rPr>
        <w:t xml:space="preserve">Pre-generated population of 10,000-50,000 patients with complete lifecycles, diagnoses, insurance details, and cost data. Extended with realistic pricing variation (150-400% of Medicare), insurance benefit complexity, and financial assistance thresholds.</w:t>
      </w:r>
    </w:p>
    <w:p>
      <w:pPr>
        <w:pStyle w:val="ListParagraph"/>
        <w:numPr>
          <w:ilvl w:val="0"/>
          <w:numId w:val="10"/>
        </w:numPr>
        <w:spacing w:after="100" w:line="276"/>
      </w:pPr>
      <w:r>
        <w:rPr>
          <w:rFonts w:ascii="Arial" w:cs="Arial" w:eastAsia="Arial" w:hAnsi="Arial"/>
          <w:b/>
          <w:bCs/>
          <w:color w:val="1C2833"/>
          <w:sz w:val="22"/>
          <w:szCs w:val="22"/>
        </w:rPr>
        <w:t xml:space="preserve">Hospital MRF Sample: </w:t>
      </w:r>
      <w:r>
        <w:rPr>
          <w:rFonts w:ascii="Arial" w:cs="Arial" w:eastAsia="Arial" w:hAnsi="Arial"/>
          <w:color w:val="1C2833"/>
          <w:sz w:val="22"/>
          <w:szCs w:val="22"/>
        </w:rPr>
        <w:t xml:space="preserve">Raw price transparency files from 50-100 hospitals with intentional quality issues (inconsistent formats, missing fields, payer name variations) to test data normalization skills.</w:t>
      </w:r>
    </w:p>
    <w:p>
      <w:pPr>
        <w:pStyle w:val="ListParagraph"/>
        <w:numPr>
          <w:ilvl w:val="0"/>
          <w:numId w:val="10"/>
        </w:numPr>
        <w:spacing w:after="100" w:line="276"/>
      </w:pPr>
      <w:r>
        <w:rPr>
          <w:rFonts w:ascii="Arial" w:cs="Arial" w:eastAsia="Arial" w:hAnsi="Arial"/>
          <w:b/>
          <w:bCs/>
          <w:color w:val="1C2833"/>
          <w:sz w:val="22"/>
          <w:szCs w:val="22"/>
        </w:rPr>
        <w:t xml:space="preserve">CMS Fee Schedules: </w:t>
      </w:r>
      <w:r>
        <w:rPr>
          <w:rFonts w:ascii="Arial" w:cs="Arial" w:eastAsia="Arial" w:hAnsi="Arial"/>
          <w:color w:val="1C2833"/>
          <w:sz w:val="22"/>
          <w:szCs w:val="22"/>
        </w:rPr>
        <w:t xml:space="preserve">Complete Medicare payment rates (MPFS, IPPS, OPPS) as the authoritative cost baseline.</w:t>
      </w:r>
    </w:p>
    <w:p>
      <w:pPr>
        <w:pStyle w:val="ListParagraph"/>
        <w:numPr>
          <w:ilvl w:val="0"/>
          <w:numId w:val="10"/>
        </w:numPr>
        <w:spacing w:after="100" w:line="276"/>
      </w:pPr>
      <w:r>
        <w:rPr>
          <w:rFonts w:ascii="Arial" w:cs="Arial" w:eastAsia="Arial" w:hAnsi="Arial"/>
          <w:b/>
          <w:bCs/>
          <w:color w:val="1C2833"/>
          <w:sz w:val="22"/>
          <w:szCs w:val="22"/>
        </w:rPr>
        <w:t xml:space="preserve">ACA Marketplace Plan Data: </w:t>
      </w:r>
      <w:r>
        <w:rPr>
          <w:rFonts w:ascii="Arial" w:cs="Arial" w:eastAsia="Arial" w:hAnsi="Arial"/>
          <w:color w:val="1C2833"/>
          <w:sz w:val="22"/>
          <w:szCs w:val="22"/>
        </w:rPr>
        <w:t xml:space="preserve">Insurance plan benefit structures for the relevant geographic region.</w:t>
      </w:r>
    </w:p>
    <w:p>
      <w:pPr>
        <w:pStyle w:val="ListParagraph"/>
        <w:numPr>
          <w:ilvl w:val="0"/>
          <w:numId w:val="10"/>
        </w:numPr>
        <w:spacing w:after="100" w:line="276"/>
      </w:pPr>
      <w:r>
        <w:rPr>
          <w:rFonts w:ascii="Arial" w:cs="Arial" w:eastAsia="Arial" w:hAnsi="Arial"/>
          <w:b/>
          <w:bCs/>
          <w:color w:val="1C2833"/>
          <w:sz w:val="22"/>
          <w:szCs w:val="22"/>
        </w:rPr>
        <w:t xml:space="preserve">Charity Care Policy Database: </w:t>
      </w:r>
      <w:r>
        <w:rPr>
          <w:rFonts w:ascii="Arial" w:cs="Arial" w:eastAsia="Arial" w:hAnsi="Arial"/>
          <w:color w:val="1C2833"/>
          <w:sz w:val="22"/>
          <w:szCs w:val="22"/>
        </w:rPr>
        <w:t xml:space="preserve">Structured dataset of 200+ hospital financial assistance policies with income thresholds, discount levels, and application requirements.</w:t>
      </w:r>
    </w:p>
    <w:p>
      <w:pPr>
        <w:pStyle w:val="ListParagraph"/>
        <w:numPr>
          <w:ilvl w:val="0"/>
          <w:numId w:val="10"/>
        </w:numPr>
        <w:spacing w:after="100" w:line="276"/>
      </w:pPr>
      <w:r>
        <w:rPr>
          <w:rFonts w:ascii="Arial" w:cs="Arial" w:eastAsia="Arial" w:hAnsi="Arial"/>
          <w:b/>
          <w:bCs/>
          <w:color w:val="1C2833"/>
          <w:sz w:val="22"/>
          <w:szCs w:val="22"/>
        </w:rPr>
        <w:t xml:space="preserve">CFPB Medical Debt Complaints: </w:t>
      </w:r>
      <w:r>
        <w:rPr>
          <w:rFonts w:ascii="Arial" w:cs="Arial" w:eastAsia="Arial" w:hAnsi="Arial"/>
          <w:color w:val="1C2833"/>
          <w:sz w:val="22"/>
          <w:szCs w:val="22"/>
        </w:rPr>
        <w:t xml:space="preserve">Filtered complaint data for medical debt patterns.</w:t>
      </w:r>
    </w:p>
    <w:p>
      <w:pPr>
        <w:pStyle w:val="Heading2"/>
        <w:spacing w:before="300" w:after="160"/>
      </w:pPr>
      <w:r>
        <w:rPr>
          <w:rFonts w:ascii="Arial" w:cs="Arial" w:eastAsia="Arial" w:hAnsi="Arial"/>
          <w:b/>
          <w:bCs/>
          <w:color w:val="1C2833"/>
          <w:sz w:val="26"/>
          <w:szCs w:val="26"/>
        </w:rPr>
        <w:t xml:space="preserve">Challenge Tracks</w:t>
      </w:r>
    </w:p>
    <w:p>
      <w:pPr>
        <w:spacing w:before="240" w:after="120"/>
      </w:pPr>
      <w:r>
        <w:rPr>
          <w:rFonts w:ascii="Arial" w:cs="Arial" w:eastAsia="Arial" w:hAnsi="Arial"/>
          <w:b/>
          <w:bCs/>
          <w:color w:val="1B4F72"/>
          <w:sz w:val="22"/>
          <w:szCs w:val="22"/>
        </w:rPr>
        <w:t xml:space="preserve">Track 1: Data Standardization</w:t>
      </w:r>
    </w:p>
    <w:p>
      <w:pPr>
        <w:spacing w:after="160" w:line="276"/>
      </w:pPr>
      <w:r>
        <w:rPr>
          <w:rFonts w:ascii="Arial" w:cs="Arial" w:eastAsia="Arial" w:hAnsi="Arial"/>
          <w:color w:val="1C2833"/>
          <w:sz w:val="22"/>
          <w:szCs w:val="22"/>
        </w:rPr>
        <w:t xml:space="preserve">Teams receive raw hospital MRF files with quality issues. Evaluate on normalization coverage, code-mapping accuracy (F1 score), and outlier detection. This mirrors the hardest real-world problem.</w:t>
      </w:r>
    </w:p>
    <w:p>
      <w:pPr>
        <w:spacing w:before="240" w:after="120"/>
      </w:pPr>
      <w:r>
        <w:rPr>
          <w:rFonts w:ascii="Arial" w:cs="Arial" w:eastAsia="Arial" w:hAnsi="Arial"/>
          <w:b/>
          <w:bCs/>
          <w:color w:val="1B4F72"/>
          <w:sz w:val="22"/>
          <w:szCs w:val="22"/>
        </w:rPr>
        <w:t xml:space="preserve">Track 2: Cost Prediction</w:t>
      </w:r>
    </w:p>
    <w:p>
      <w:pPr>
        <w:spacing w:after="160" w:line="276"/>
      </w:pPr>
      <w:r>
        <w:rPr>
          <w:rFonts w:ascii="Arial" w:cs="Arial" w:eastAsia="Arial" w:hAnsi="Arial"/>
          <w:color w:val="1C2833"/>
          <w:sz w:val="22"/>
          <w:szCs w:val="22"/>
        </w:rPr>
        <w:t xml:space="preserve">Provide synthetic patient profiles with diagnoses and insurance details. Teams predict total episode cost and patient OOP responsibility. Evaluate on Mean Absolute Percentage Error (MAPE), calibration of prediction intervals (PICP), and interval width (MPIW). Requires probabilistic outputs, not just point estimates.</w:t>
      </w:r>
    </w:p>
    <w:p>
      <w:pPr>
        <w:spacing w:before="240" w:after="120"/>
      </w:pPr>
      <w:r>
        <w:rPr>
          <w:rFonts w:ascii="Arial" w:cs="Arial" w:eastAsia="Arial" w:hAnsi="Arial"/>
          <w:b/>
          <w:bCs/>
          <w:color w:val="1B4F72"/>
          <w:sz w:val="22"/>
          <w:szCs w:val="22"/>
        </w:rPr>
        <w:t xml:space="preserve">Track 3: Financial Pathway Recommendation</w:t>
      </w:r>
    </w:p>
    <w:p>
      <w:pPr>
        <w:spacing w:after="160" w:line="276"/>
      </w:pPr>
      <w:r>
        <w:rPr>
          <w:rFonts w:ascii="Arial" w:cs="Arial" w:eastAsia="Arial" w:hAnsi="Arial"/>
          <w:color w:val="1C2833"/>
          <w:sz w:val="22"/>
          <w:szCs w:val="22"/>
        </w:rPr>
        <w:t xml:space="preserve">Provide clinical scenarios with patient financial profiles. Teams build recommendation engines suggesting optimal financial pathways. Evaluate via expert panel scoring on actionability, eligibility accuracy, and equity impact.</w:t>
      </w:r>
    </w:p>
    <w:p>
      <w:pPr>
        <w:spacing w:before="240" w:after="120"/>
      </w:pPr>
      <w:r>
        <w:rPr>
          <w:rFonts w:ascii="Arial" w:cs="Arial" w:eastAsia="Arial" w:hAnsi="Arial"/>
          <w:b/>
          <w:bCs/>
          <w:color w:val="1B4F72"/>
          <w:sz w:val="22"/>
          <w:szCs w:val="22"/>
        </w:rPr>
        <w:t xml:space="preserve">Track 4: Equity Analysis</w:t>
      </w:r>
    </w:p>
    <w:p>
      <w:pPr>
        <w:spacing w:after="160" w:line="276"/>
      </w:pPr>
      <w:r>
        <w:rPr>
          <w:rFonts w:ascii="Arial" w:cs="Arial" w:eastAsia="Arial" w:hAnsi="Arial"/>
          <w:color w:val="1C2833"/>
          <w:sz w:val="22"/>
          <w:szCs w:val="22"/>
        </w:rPr>
        <w:t xml:space="preserve">Using the same datasets, identify and quantify cost disparities by demographics, geography, and insurance status. Surface insights about who is most at risk of financial catastrophe and where the biggest intervention opportunities exist.</w:t>
      </w:r>
    </w:p>
    <w:p>
      <w:pPr>
        <w:pStyle w:val="Heading2"/>
        <w:spacing w:before="300" w:after="160"/>
      </w:pPr>
      <w:r>
        <w:rPr>
          <w:rFonts w:ascii="Arial" w:cs="Arial" w:eastAsia="Arial" w:hAnsi="Arial"/>
          <w:b/>
          <w:bCs/>
          <w:color w:val="1C2833"/>
          <w:sz w:val="26"/>
          <w:szCs w:val="26"/>
        </w:rPr>
        <w:t xml:space="preserve">Judging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Criterion</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Weight</w:t>
            </w:r>
          </w:p>
        </w:tc>
        <w:tc>
          <w:tcPr>
            <w:tcW w:type="dxa" w:w="5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Measures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Impact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30%</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Would this genuinely help a person in crisis? Does it surface hidden opportunities like charity care?</w:t>
            </w:r>
          </w:p>
        </w:tc>
      </w:tr>
      <w:tr>
        <w:tc>
          <w:tcPr>
            <w:tcW w:type="dxa" w:w="2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Competitive Edge / Cleverness</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25%</w:t>
            </w:r>
          </w:p>
        </w:tc>
        <w:tc>
          <w:tcPr>
            <w:tcW w:type="dxa" w:w="56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How creatively did the team connect disparate data sources? Did they find insights others missed?</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Technical Rigor</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20%</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Model accuracy, calibration of uncertainty, handling of missing data and edge cases</w:t>
            </w:r>
          </w:p>
        </w:tc>
      </w:tr>
      <w:tr>
        <w:tc>
          <w:tcPr>
            <w:tcW w:type="dxa" w:w="2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Actionability of Output</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15%</w:t>
            </w:r>
          </w:p>
        </w:tc>
        <w:tc>
          <w:tcPr>
            <w:tcW w:type="dxa" w:w="56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0"/>
            </w:pPr>
            <w:r>
              <w:rPr>
                <w:rFonts w:ascii="Arial" w:cs="Arial" w:eastAsia="Arial" w:hAnsi="Arial"/>
                <w:color w:val="1C2833"/>
                <w:sz w:val="20"/>
                <w:szCs w:val="20"/>
              </w:rPr>
              <w:t xml:space="preserve">Is the output clear, specific, and usable by a non-technical person under stress?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Equity Awareness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10%</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1C2833"/>
                <w:sz w:val="20"/>
                <w:szCs w:val="20"/>
              </w:rPr>
              <w:t xml:space="preserve">Does the solution identify and address disparities in who benefits?</w:t>
            </w:r>
          </w:p>
        </w:tc>
      </w:tr>
    </w:tbl>
    <w:p>
      <w:r>
        <w:br w:type="page"/>
      </w:r>
    </w:p>
    <w:p>
      <w:pPr>
        <w:pStyle w:val="Heading1"/>
        <w:pBdr>
          <w:bottom w:val="single" w:color="1B4F72" w:sz="6" w:space="8"/>
        </w:pBdr>
        <w:spacing w:before="360" w:after="200"/>
      </w:pPr>
      <w:r>
        <w:rPr>
          <w:rFonts w:ascii="Arial" w:cs="Arial" w:eastAsia="Arial" w:hAnsi="Arial"/>
          <w:b/>
          <w:bCs/>
          <w:color w:val="1B4F72"/>
          <w:sz w:val="32"/>
          <w:szCs w:val="32"/>
        </w:rPr>
        <w:t xml:space="preserve">7. Recommended Tech Stack</w:t>
      </w:r>
    </w:p>
    <w:p>
      <w:pPr>
        <w:pStyle w:val="Heading2"/>
        <w:spacing w:before="300" w:after="160"/>
      </w:pPr>
      <w:r>
        <w:rPr>
          <w:rFonts w:ascii="Arial" w:cs="Arial" w:eastAsia="Arial" w:hAnsi="Arial"/>
          <w:b/>
          <w:bCs/>
          <w:color w:val="1C2833"/>
          <w:sz w:val="26"/>
          <w:szCs w:val="26"/>
        </w:rPr>
        <w:t xml:space="preserve">Data Ingestion &amp; Normalization</w:t>
      </w:r>
    </w:p>
    <w:p>
      <w:pPr>
        <w:pStyle w:val="ListParagraph"/>
        <w:numPr>
          <w:ilvl w:val="0"/>
          <w:numId w:val="2"/>
        </w:numPr>
        <w:spacing w:after="100" w:line="276"/>
      </w:pPr>
      <w:r>
        <w:rPr>
          <w:rFonts w:ascii="Arial" w:cs="Arial" w:eastAsia="Arial" w:hAnsi="Arial"/>
          <w:b/>
          <w:bCs/>
          <w:color w:val="1C2833"/>
          <w:sz w:val="22"/>
          <w:szCs w:val="22"/>
        </w:rPr>
        <w:t xml:space="preserve">Apache Spark: </w:t>
      </w:r>
      <w:r>
        <w:rPr>
          <w:rFonts w:ascii="Arial" w:cs="Arial" w:eastAsia="Arial" w:hAnsi="Arial"/>
          <w:color w:val="1C2833"/>
          <w:sz w:val="22"/>
          <w:szCs w:val="22"/>
        </w:rPr>
        <w:t xml:space="preserve">Large-scale transforms for multi-GB hospital MRF files.</w:t>
      </w:r>
    </w:p>
    <w:p>
      <w:pPr>
        <w:pStyle w:val="ListParagraph"/>
        <w:numPr>
          <w:ilvl w:val="0"/>
          <w:numId w:val="2"/>
        </w:numPr>
        <w:spacing w:after="100" w:line="276"/>
      </w:pPr>
      <w:r>
        <w:rPr>
          <w:rFonts w:ascii="Arial" w:cs="Arial" w:eastAsia="Arial" w:hAnsi="Arial"/>
          <w:b/>
          <w:bCs/>
          <w:color w:val="1C2833"/>
          <w:sz w:val="22"/>
          <w:szCs w:val="22"/>
        </w:rPr>
        <w:t xml:space="preserve">dbt: </w:t>
      </w:r>
      <w:r>
        <w:rPr>
          <w:rFonts w:ascii="Arial" w:cs="Arial" w:eastAsia="Arial" w:hAnsi="Arial"/>
          <w:color w:val="1C2833"/>
          <w:sz w:val="22"/>
          <w:szCs w:val="22"/>
        </w:rPr>
        <w:t xml:space="preserve">SQL-based normalization and data quality testing.</w:t>
      </w:r>
    </w:p>
    <w:p>
      <w:pPr>
        <w:pStyle w:val="ListParagraph"/>
        <w:numPr>
          <w:ilvl w:val="0"/>
          <w:numId w:val="2"/>
        </w:numPr>
        <w:spacing w:after="100" w:line="276"/>
      </w:pPr>
      <w:r>
        <w:rPr>
          <w:rFonts w:ascii="Arial" w:cs="Arial" w:eastAsia="Arial" w:hAnsi="Arial"/>
          <w:b/>
          <w:bCs/>
          <w:color w:val="1C2833"/>
          <w:sz w:val="22"/>
          <w:szCs w:val="22"/>
        </w:rPr>
        <w:t xml:space="preserve">Airflow: </w:t>
      </w:r>
      <w:r>
        <w:rPr>
          <w:rFonts w:ascii="Arial" w:cs="Arial" w:eastAsia="Arial" w:hAnsi="Arial"/>
          <w:color w:val="1C2833"/>
          <w:sz w:val="22"/>
          <w:szCs w:val="22"/>
        </w:rPr>
        <w:t xml:space="preserve">Orchestration for scheduled data pipeline runs.</w:t>
      </w:r>
    </w:p>
    <w:p>
      <w:pPr>
        <w:pStyle w:val="ListParagraph"/>
        <w:numPr>
          <w:ilvl w:val="0"/>
          <w:numId w:val="2"/>
        </w:numPr>
        <w:spacing w:after="100" w:line="276"/>
      </w:pPr>
      <w:r>
        <w:rPr>
          <w:rFonts w:ascii="Arial" w:cs="Arial" w:eastAsia="Arial" w:hAnsi="Arial"/>
          <w:b/>
          <w:bCs/>
          <w:color w:val="1C2833"/>
          <w:sz w:val="22"/>
          <w:szCs w:val="22"/>
        </w:rPr>
        <w:t xml:space="preserve">DoltHub mrfutils: </w:t>
      </w:r>
      <w:r>
        <w:rPr>
          <w:rFonts w:ascii="Arial" w:cs="Arial" w:eastAsia="Arial" w:hAnsi="Arial"/>
          <w:color w:val="1C2833"/>
          <w:sz w:val="22"/>
          <w:szCs w:val="22"/>
        </w:rPr>
        <w:t xml:space="preserve">Open-source streaming JSON parser for insurer MRF files (handles multi-TB compressed files).</w:t>
      </w:r>
    </w:p>
    <w:p>
      <w:pPr>
        <w:pStyle w:val="ListParagraph"/>
        <w:numPr>
          <w:ilvl w:val="0"/>
          <w:numId w:val="2"/>
        </w:numPr>
        <w:spacing w:after="100" w:line="276"/>
      </w:pPr>
      <w:r>
        <w:rPr>
          <w:rFonts w:ascii="Arial" w:cs="Arial" w:eastAsia="Arial" w:hAnsi="Arial"/>
          <w:b/>
          <w:bCs/>
          <w:color w:val="1C2833"/>
          <w:sz w:val="22"/>
          <w:szCs w:val="22"/>
        </w:rPr>
        <w:t xml:space="preserve">CMS HPT Validator: </w:t>
      </w:r>
      <w:r>
        <w:rPr>
          <w:rFonts w:ascii="Arial" w:cs="Arial" w:eastAsia="Arial" w:hAnsi="Arial"/>
          <w:color w:val="1C2833"/>
          <w:sz w:val="22"/>
          <w:szCs w:val="22"/>
        </w:rPr>
        <w:t xml:space="preserve">Official compliance checker for hospital price transparency files.</w:t>
      </w:r>
    </w:p>
    <w:p>
      <w:pPr>
        <w:pStyle w:val="Heading2"/>
        <w:spacing w:before="300" w:after="160"/>
      </w:pPr>
      <w:r>
        <w:rPr>
          <w:rFonts w:ascii="Arial" w:cs="Arial" w:eastAsia="Arial" w:hAnsi="Arial"/>
          <w:b/>
          <w:bCs/>
          <w:color w:val="1C2833"/>
          <w:sz w:val="26"/>
          <w:szCs w:val="26"/>
        </w:rPr>
        <w:t xml:space="preserve">Storage</w:t>
      </w:r>
    </w:p>
    <w:p>
      <w:pPr>
        <w:pStyle w:val="ListParagraph"/>
        <w:numPr>
          <w:ilvl w:val="0"/>
          <w:numId w:val="2"/>
        </w:numPr>
        <w:spacing w:after="100" w:line="276"/>
      </w:pPr>
      <w:r>
        <w:rPr>
          <w:rFonts w:ascii="Arial" w:cs="Arial" w:eastAsia="Arial" w:hAnsi="Arial"/>
          <w:b/>
          <w:bCs/>
          <w:color w:val="1C2833"/>
          <w:sz w:val="22"/>
          <w:szCs w:val="22"/>
        </w:rPr>
        <w:t xml:space="preserve">Delta Lake / Snowflake: </w:t>
      </w:r>
      <w:r>
        <w:rPr>
          <w:rFonts w:ascii="Arial" w:cs="Arial" w:eastAsia="Arial" w:hAnsi="Arial"/>
          <w:color w:val="1C2833"/>
          <w:sz w:val="22"/>
          <w:szCs w:val="22"/>
        </w:rPr>
        <w:t xml:space="preserve">Structured storage for normalized pricing, plan, and charity care data.</w:t>
      </w:r>
    </w:p>
    <w:p>
      <w:pPr>
        <w:pStyle w:val="ListParagraph"/>
        <w:numPr>
          <w:ilvl w:val="0"/>
          <w:numId w:val="2"/>
        </w:numPr>
        <w:spacing w:after="100" w:line="276"/>
      </w:pPr>
      <w:r>
        <w:rPr>
          <w:rFonts w:ascii="Arial" w:cs="Arial" w:eastAsia="Arial" w:hAnsi="Arial"/>
          <w:b/>
          <w:bCs/>
          <w:color w:val="1C2833"/>
          <w:sz w:val="22"/>
          <w:szCs w:val="22"/>
        </w:rPr>
        <w:t xml:space="preserve">Redis: </w:t>
      </w:r>
      <w:r>
        <w:rPr>
          <w:rFonts w:ascii="Arial" w:cs="Arial" w:eastAsia="Arial" w:hAnsi="Arial"/>
          <w:color w:val="1C2833"/>
          <w:sz w:val="22"/>
          <w:szCs w:val="22"/>
        </w:rPr>
        <w:t xml:space="preserve">Caching layer for frequently-queried price lookups.</w:t>
      </w:r>
    </w:p>
    <w:p>
      <w:pPr>
        <w:pStyle w:val="ListParagraph"/>
        <w:numPr>
          <w:ilvl w:val="0"/>
          <w:numId w:val="2"/>
        </w:numPr>
        <w:spacing w:after="100" w:line="276"/>
      </w:pPr>
      <w:r>
        <w:rPr>
          <w:rFonts w:ascii="Arial" w:cs="Arial" w:eastAsia="Arial" w:hAnsi="Arial"/>
          <w:b/>
          <w:bCs/>
          <w:color w:val="1C2833"/>
          <w:sz w:val="22"/>
          <w:szCs w:val="22"/>
        </w:rPr>
        <w:t xml:space="preserve">Neo4j: </w:t>
      </w:r>
      <w:r>
        <w:rPr>
          <w:rFonts w:ascii="Arial" w:cs="Arial" w:eastAsia="Arial" w:hAnsi="Arial"/>
          <w:color w:val="1C2833"/>
          <w:sz w:val="22"/>
          <w:szCs w:val="22"/>
        </w:rPr>
        <w:t xml:space="preserve">Graph database for diagnosis-to-procedure-to-provider relationship mapping.</w:t>
      </w:r>
    </w:p>
    <w:p>
      <w:pPr>
        <w:pStyle w:val="Heading2"/>
        <w:spacing w:before="300" w:after="160"/>
      </w:pPr>
      <w:r>
        <w:rPr>
          <w:rFonts w:ascii="Arial" w:cs="Arial" w:eastAsia="Arial" w:hAnsi="Arial"/>
          <w:b/>
          <w:bCs/>
          <w:color w:val="1C2833"/>
          <w:sz w:val="26"/>
          <w:szCs w:val="26"/>
        </w:rPr>
        <w:t xml:space="preserve">ML &amp; Cost Estimation</w:t>
      </w:r>
    </w:p>
    <w:p>
      <w:pPr>
        <w:pStyle w:val="ListParagraph"/>
        <w:numPr>
          <w:ilvl w:val="0"/>
          <w:numId w:val="2"/>
        </w:numPr>
        <w:spacing w:after="100" w:line="276"/>
      </w:pPr>
      <w:r>
        <w:rPr>
          <w:rFonts w:ascii="Arial" w:cs="Arial" w:eastAsia="Arial" w:hAnsi="Arial"/>
          <w:b/>
          <w:bCs/>
          <w:color w:val="1C2833"/>
          <w:sz w:val="22"/>
          <w:szCs w:val="22"/>
        </w:rPr>
        <w:t xml:space="preserve">XGBoost: </w:t>
      </w:r>
      <w:r>
        <w:rPr>
          <w:rFonts w:ascii="Arial" w:cs="Arial" w:eastAsia="Arial" w:hAnsi="Arial"/>
          <w:color w:val="1C2833"/>
          <w:sz w:val="22"/>
          <w:szCs w:val="22"/>
        </w:rPr>
        <w:t xml:space="preserve">Primary cost prediction model (best overall performance per healthcare cost prediction literature).</w:t>
      </w:r>
    </w:p>
    <w:p>
      <w:pPr>
        <w:pStyle w:val="ListParagraph"/>
        <w:numPr>
          <w:ilvl w:val="0"/>
          <w:numId w:val="2"/>
        </w:numPr>
        <w:spacing w:after="100" w:line="276"/>
      </w:pPr>
      <w:r>
        <w:rPr>
          <w:rFonts w:ascii="Arial" w:cs="Arial" w:eastAsia="Arial" w:hAnsi="Arial"/>
          <w:b/>
          <w:bCs/>
          <w:color w:val="1C2833"/>
          <w:sz w:val="22"/>
          <w:szCs w:val="22"/>
        </w:rPr>
        <w:t xml:space="preserve">GLM (Gamma, log-link): </w:t>
      </w:r>
      <w:r>
        <w:rPr>
          <w:rFonts w:ascii="Arial" w:cs="Arial" w:eastAsia="Arial" w:hAnsi="Arial"/>
          <w:color w:val="1C2833"/>
          <w:sz w:val="22"/>
          <w:szCs w:val="22"/>
        </w:rPr>
        <w:t xml:space="preserve">Two-part model for cost distribution modeling.</w:t>
      </w:r>
    </w:p>
    <w:p>
      <w:pPr>
        <w:pStyle w:val="ListParagraph"/>
        <w:numPr>
          <w:ilvl w:val="0"/>
          <w:numId w:val="2"/>
        </w:numPr>
        <w:spacing w:after="100" w:line="276"/>
      </w:pPr>
      <w:r>
        <w:rPr>
          <w:rFonts w:ascii="Arial" w:cs="Arial" w:eastAsia="Arial" w:hAnsi="Arial"/>
          <w:b/>
          <w:bCs/>
          <w:color w:val="1C2833"/>
          <w:sz w:val="22"/>
          <w:szCs w:val="22"/>
        </w:rPr>
        <w:t xml:space="preserve">Ensemble Meta-learner: </w:t>
      </w:r>
      <w:r>
        <w:rPr>
          <w:rFonts w:ascii="Arial" w:cs="Arial" w:eastAsia="Arial" w:hAnsi="Arial"/>
          <w:color w:val="1C2833"/>
          <w:sz w:val="22"/>
          <w:szCs w:val="22"/>
        </w:rPr>
        <w:t xml:space="preserve">Stacks XGBoost, GLM, and ANN predictions for robust estimates.</w:t>
      </w:r>
    </w:p>
    <w:p>
      <w:pPr>
        <w:pStyle w:val="ListParagraph"/>
        <w:numPr>
          <w:ilvl w:val="0"/>
          <w:numId w:val="2"/>
        </w:numPr>
        <w:spacing w:after="100" w:line="276"/>
      </w:pPr>
      <w:r>
        <w:rPr>
          <w:rFonts w:ascii="Arial" w:cs="Arial" w:eastAsia="Arial" w:hAnsi="Arial"/>
          <w:b/>
          <w:bCs/>
          <w:color w:val="1C2833"/>
          <w:sz w:val="22"/>
          <w:szCs w:val="22"/>
        </w:rPr>
        <w:t xml:space="preserve">Amazon Comprehend Medical / Spark NLP: </w:t>
      </w:r>
      <w:r>
        <w:rPr>
          <w:rFonts w:ascii="Arial" w:cs="Arial" w:eastAsia="Arial" w:hAnsi="Arial"/>
          <w:color w:val="1C2833"/>
          <w:sz w:val="22"/>
          <w:szCs w:val="22"/>
        </w:rPr>
        <w:t xml:space="preserve">NLP-based ICD-10 code extraction from free-text diagnosis descriptions.</w:t>
      </w:r>
    </w:p>
    <w:p>
      <w:pPr>
        <w:pStyle w:val="Heading2"/>
        <w:spacing w:before="300" w:after="160"/>
      </w:pPr>
      <w:r>
        <w:rPr>
          <w:rFonts w:ascii="Arial" w:cs="Arial" w:eastAsia="Arial" w:hAnsi="Arial"/>
          <w:b/>
          <w:bCs/>
          <w:color w:val="1C2833"/>
          <w:sz w:val="26"/>
          <w:szCs w:val="26"/>
        </w:rPr>
        <w:t xml:space="preserve">APIs &amp; Integration</w:t>
      </w:r>
    </w:p>
    <w:p>
      <w:pPr>
        <w:pStyle w:val="ListParagraph"/>
        <w:numPr>
          <w:ilvl w:val="0"/>
          <w:numId w:val="2"/>
        </w:numPr>
        <w:spacing w:after="100" w:line="276"/>
      </w:pPr>
      <w:r>
        <w:rPr>
          <w:rFonts w:ascii="Arial" w:cs="Arial" w:eastAsia="Arial" w:hAnsi="Arial"/>
          <w:b/>
          <w:bCs/>
          <w:color w:val="1C2833"/>
          <w:sz w:val="22"/>
          <w:szCs w:val="22"/>
        </w:rPr>
        <w:t xml:space="preserve">CMS Blue Button 2.0: </w:t>
      </w:r>
      <w:r>
        <w:rPr>
          <w:rFonts w:ascii="Arial" w:cs="Arial" w:eastAsia="Arial" w:hAnsi="Arial"/>
          <w:color w:val="1C2833"/>
          <w:sz w:val="22"/>
          <w:szCs w:val="22"/>
        </w:rPr>
        <w:t xml:space="preserve">FHIR R4-based access to Medicare claims data (sandbox with 30,000 synthetic beneficiaries).</w:t>
      </w:r>
    </w:p>
    <w:p>
      <w:pPr>
        <w:pStyle w:val="ListParagraph"/>
        <w:numPr>
          <w:ilvl w:val="0"/>
          <w:numId w:val="2"/>
        </w:numPr>
        <w:spacing w:after="100" w:line="276"/>
      </w:pPr>
      <w:r>
        <w:rPr>
          <w:rFonts w:ascii="Arial" w:cs="Arial" w:eastAsia="Arial" w:hAnsi="Arial"/>
          <w:b/>
          <w:bCs/>
          <w:color w:val="1C2833"/>
          <w:sz w:val="22"/>
          <w:szCs w:val="22"/>
        </w:rPr>
        <w:t xml:space="preserve">Turquoise Health API: </w:t>
      </w:r>
      <w:r>
        <w:rPr>
          <w:rFonts w:ascii="Arial" w:cs="Arial" w:eastAsia="Arial" w:hAnsi="Arial"/>
          <w:color w:val="1C2833"/>
          <w:sz w:val="22"/>
          <w:szCs w:val="22"/>
        </w:rPr>
        <w:t xml:space="preserve">1 trillion+ harmonized hospital and payer rate records (commercial license).</w:t>
      </w:r>
    </w:p>
    <w:p>
      <w:pPr>
        <w:pStyle w:val="ListParagraph"/>
        <w:numPr>
          <w:ilvl w:val="0"/>
          <w:numId w:val="2"/>
        </w:numPr>
        <w:spacing w:after="100" w:line="276"/>
      </w:pPr>
      <w:r>
        <w:rPr>
          <w:rFonts w:ascii="Arial" w:cs="Arial" w:eastAsia="Arial" w:hAnsi="Arial"/>
          <w:b/>
          <w:bCs/>
          <w:color w:val="1C2833"/>
          <w:sz w:val="22"/>
          <w:szCs w:val="22"/>
        </w:rPr>
        <w:t xml:space="preserve">Serif Health API: </w:t>
      </w:r>
      <w:r>
        <w:rPr>
          <w:rFonts w:ascii="Arial" w:cs="Arial" w:eastAsia="Arial" w:hAnsi="Arial"/>
          <w:color w:val="1C2833"/>
          <w:sz w:val="22"/>
          <w:szCs w:val="22"/>
        </w:rPr>
        <w:t xml:space="preserve">Rate search, market reimbursement, and provider directory (commercial license).</w:t>
      </w:r>
    </w:p>
    <w:p>
      <w:pPr>
        <w:pStyle w:val="ListParagraph"/>
        <w:numPr>
          <w:ilvl w:val="0"/>
          <w:numId w:val="2"/>
        </w:numPr>
        <w:spacing w:after="100" w:line="276"/>
      </w:pPr>
      <w:r>
        <w:rPr>
          <w:rFonts w:ascii="Arial" w:cs="Arial" w:eastAsia="Arial" w:hAnsi="Arial"/>
          <w:b/>
          <w:bCs/>
          <w:color w:val="1C2833"/>
          <w:sz w:val="22"/>
          <w:szCs w:val="22"/>
        </w:rPr>
        <w:t xml:space="preserve">FAIR Health API: </w:t>
      </w:r>
      <w:r>
        <w:rPr>
          <w:rFonts w:ascii="Arial" w:cs="Arial" w:eastAsia="Arial" w:hAnsi="Arial"/>
          <w:color w:val="1C2833"/>
          <w:sz w:val="22"/>
          <w:szCs w:val="22"/>
        </w:rPr>
        <w:t xml:space="preserve">Cost benchmarks across 493 geographic zones and 15,000+ procedure codes (commercial license).</w:t>
      </w:r>
    </w:p>
    <w:p>
      <w:pPr>
        <w:pStyle w:val="Heading2"/>
        <w:spacing w:before="300" w:after="160"/>
      </w:pPr>
      <w:r>
        <w:rPr>
          <w:rFonts w:ascii="Arial" w:cs="Arial" w:eastAsia="Arial" w:hAnsi="Arial"/>
          <w:b/>
          <w:bCs/>
          <w:color w:val="1C2833"/>
          <w:sz w:val="26"/>
          <w:szCs w:val="26"/>
        </w:rPr>
        <w:t xml:space="preserve">Frontend &amp; User Experience</w:t>
      </w:r>
    </w:p>
    <w:p>
      <w:pPr>
        <w:spacing w:after="160" w:line="276"/>
      </w:pPr>
      <w:r>
        <w:rPr>
          <w:rFonts w:ascii="Arial" w:cs="Arial" w:eastAsia="Arial" w:hAnsi="Arial"/>
          <w:color w:val="1C2833"/>
          <w:sz w:val="22"/>
          <w:szCs w:val="22"/>
        </w:rPr>
        <w:t xml:space="preserve">The interface must be designed for the crisis mindset: minimal input, progressive disclosure, clear visual hierarchy, plain language, and mobile-first. The system should be useful from the very first input and progressively refine as more information becomes available.</w:t>
      </w:r>
    </w:p>
    <w:p>
      <w:r>
        <w:br w:type="page"/>
      </w:r>
    </w:p>
    <w:p>
      <w:pPr>
        <w:pStyle w:val="Heading1"/>
        <w:pBdr>
          <w:bottom w:val="single" w:color="1B4F72" w:sz="6" w:space="8"/>
        </w:pBdr>
        <w:spacing w:before="360" w:after="200"/>
      </w:pPr>
      <w:r>
        <w:rPr>
          <w:rFonts w:ascii="Arial" w:cs="Arial" w:eastAsia="Arial" w:hAnsi="Arial"/>
          <w:b/>
          <w:bCs/>
          <w:color w:val="1B4F72"/>
          <w:sz w:val="32"/>
          <w:szCs w:val="32"/>
        </w:rPr>
        <w:t xml:space="preserve">8. The Single Most Important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D5F5E3" w:val="clear"/>
            <w:tcMar>
              <w:top w:type="dxa" w:w="160"/>
              <w:left w:type="dxa" w:w="200"/>
              <w:bottom w:type="dxa" w:w="160"/>
              <w:right w:type="dxa" w:w="200"/>
            </w:tcMar>
          </w:tcPr>
          <w:p>
            <w:pPr>
              <w:spacing w:after="0"/>
            </w:pPr>
            <w:r>
              <w:rPr>
                <w:rFonts w:ascii="Arial" w:cs="Arial" w:eastAsia="Arial" w:hAnsi="Arial"/>
                <w:i/>
                <w:iCs/>
                <w:color w:val="1C2833"/>
                <w:sz w:val="22"/>
                <w:szCs w:val="22"/>
              </w:rPr>
              <w:t xml:space="preserve">Automated charity care screening is the highest-impact feature Waypoint can offer. Dollar For's data shows households under 204% of the Federal Poverty Level qualify for free care and under 322% FPL qualify for discounted care on average. Yet the vast majority of eligible patients never apply because they don't know these programs exist or miss the application deadline.</w:t>
            </w:r>
          </w:p>
        </w:tc>
      </w:tr>
    </w:tbl>
    <w:p>
      <w:pPr>
        <w:spacing w:after="80"/>
      </w:pPr>
    </w:p>
    <w:p>
      <w:pPr>
        <w:spacing w:after="160" w:line="276"/>
      </w:pPr>
      <w:r>
        <w:rPr>
          <w:rFonts w:ascii="Arial" w:cs="Arial" w:eastAsia="Arial" w:hAnsi="Arial"/>
          <w:color w:val="1C2833"/>
          <w:sz w:val="22"/>
          <w:szCs w:val="22"/>
        </w:rPr>
        <w:t xml:space="preserve">This is what separates Waypoint from every other healthcare cost tool in the market. Existing solutions tell you what things cost. Waypoint tells you that you might not have to pay at all, and shows you exactly how to make that happen. This single feature, if executed well, could redirect billions in unclaimed financial assistance to the patients who need it most.</w:t>
      </w:r>
    </w:p>
    <w:p>
      <w:pPr>
        <w:spacing w:after="160" w:line="276"/>
      </w:pPr>
      <w:r>
        <w:rPr>
          <w:rFonts w:ascii="Arial" w:cs="Arial" w:eastAsia="Arial" w:hAnsi="Arial"/>
          <w:color w:val="1C2833"/>
          <w:sz w:val="22"/>
          <w:szCs w:val="22"/>
        </w:rPr>
        <w:t xml:space="preserve">For the datathon specifically, charity care screening is the feature that creates the widest gap between a good solution and a great one. A team that only builds cost prediction will produce a useful tool. A team that also builds automated charity care eligibility screening, cross-referenced against the specific hospital's 501(r) policies and the patient's income, will produce something that could genuinely change lives.</w:t>
      </w:r>
    </w:p>
    <w:p>
      <w:pPr>
        <w:pStyle w:val="Heading1"/>
        <w:pBdr>
          <w:bottom w:val="single" w:color="1B4F72" w:sz="6" w:space="8"/>
        </w:pBdr>
        <w:spacing w:before="360" w:after="200"/>
      </w:pPr>
      <w:r>
        <w:rPr>
          <w:rFonts w:ascii="Arial" w:cs="Arial" w:eastAsia="Arial" w:hAnsi="Arial"/>
          <w:b/>
          <w:bCs/>
          <w:color w:val="1B4F72"/>
          <w:sz w:val="32"/>
          <w:szCs w:val="32"/>
        </w:rPr>
        <w:t xml:space="preserve">9. Risks and Open Questions</w:t>
      </w:r>
    </w:p>
    <w:p>
      <w:pPr>
        <w:pStyle w:val="ListParagraph"/>
        <w:numPr>
          <w:ilvl w:val="0"/>
          <w:numId w:val="11"/>
        </w:numPr>
        <w:spacing w:after="100" w:line="276"/>
      </w:pPr>
      <w:r>
        <w:rPr>
          <w:rFonts w:ascii="Arial" w:cs="Arial" w:eastAsia="Arial" w:hAnsi="Arial"/>
          <w:b/>
          <w:bCs/>
          <w:color w:val="1C2833"/>
          <w:sz w:val="22"/>
          <w:szCs w:val="22"/>
        </w:rPr>
        <w:t xml:space="preserve">Consumer Engagement: </w:t>
      </w:r>
      <w:r>
        <w:rPr>
          <w:rFonts w:ascii="Arial" w:cs="Arial" w:eastAsia="Arial" w:hAnsi="Arial"/>
          <w:color w:val="1C2833"/>
          <w:sz w:val="22"/>
          <w:szCs w:val="22"/>
        </w:rPr>
        <w:t xml:space="preserve">Castlight Health's failure proves that building the tool is easier than getting people to use it. The crisis-moment design is Waypoint's answer to this, but it remains the fundamental risk.</w:t>
      </w:r>
    </w:p>
    <w:p>
      <w:pPr>
        <w:pStyle w:val="ListParagraph"/>
        <w:numPr>
          <w:ilvl w:val="0"/>
          <w:numId w:val="11"/>
        </w:numPr>
        <w:spacing w:after="100" w:line="276"/>
      </w:pPr>
      <w:r>
        <w:rPr>
          <w:rFonts w:ascii="Arial" w:cs="Arial" w:eastAsia="Arial" w:hAnsi="Arial"/>
          <w:b/>
          <w:bCs/>
          <w:color w:val="1C2833"/>
          <w:sz w:val="22"/>
          <w:szCs w:val="22"/>
        </w:rPr>
        <w:t xml:space="preserve">Data Accuracy: </w:t>
      </w:r>
      <w:r>
        <w:rPr>
          <w:rFonts w:ascii="Arial" w:cs="Arial" w:eastAsia="Arial" w:hAnsi="Arial"/>
          <w:color w:val="1C2833"/>
          <w:sz w:val="22"/>
          <w:szCs w:val="22"/>
        </w:rPr>
        <w:t xml:space="preserve">Hospital pricing data is inconsistent and potentially inaccurate. Cost estimates must include confidence intervals and clear disclaimers.</w:t>
      </w:r>
    </w:p>
    <w:p>
      <w:pPr>
        <w:pStyle w:val="ListParagraph"/>
        <w:numPr>
          <w:ilvl w:val="0"/>
          <w:numId w:val="11"/>
        </w:numPr>
        <w:spacing w:after="100" w:line="276"/>
      </w:pPr>
      <w:r>
        <w:rPr>
          <w:rFonts w:ascii="Arial" w:cs="Arial" w:eastAsia="Arial" w:hAnsi="Arial"/>
          <w:b/>
          <w:bCs/>
          <w:color w:val="1C2833"/>
          <w:sz w:val="22"/>
          <w:szCs w:val="22"/>
        </w:rPr>
        <w:t xml:space="preserve">Liability: </w:t>
      </w:r>
      <w:r>
        <w:rPr>
          <w:rFonts w:ascii="Arial" w:cs="Arial" w:eastAsia="Arial" w:hAnsi="Arial"/>
          <w:color w:val="1C2833"/>
          <w:sz w:val="22"/>
          <w:szCs w:val="22"/>
        </w:rPr>
        <w:t xml:space="preserve">Providing financial guidance during medical decisions creates potential liability. Waypoint must be clearly positioned as informational, not advisory.</w:t>
      </w:r>
    </w:p>
    <w:p>
      <w:pPr>
        <w:pStyle w:val="ListParagraph"/>
        <w:numPr>
          <w:ilvl w:val="0"/>
          <w:numId w:val="11"/>
        </w:numPr>
        <w:spacing w:after="100" w:line="276"/>
      </w:pPr>
      <w:r>
        <w:rPr>
          <w:rFonts w:ascii="Arial" w:cs="Arial" w:eastAsia="Arial" w:hAnsi="Arial"/>
          <w:b/>
          <w:bCs/>
          <w:color w:val="1C2833"/>
          <w:sz w:val="22"/>
          <w:szCs w:val="22"/>
        </w:rPr>
        <w:t xml:space="preserve">Real-Time Insurance Data: </w:t>
      </w:r>
      <w:r>
        <w:rPr>
          <w:rFonts w:ascii="Arial" w:cs="Arial" w:eastAsia="Arial" w:hAnsi="Arial"/>
          <w:color w:val="1C2833"/>
          <w:sz w:val="22"/>
          <w:szCs w:val="22"/>
        </w:rPr>
        <w:t xml:space="preserve">Patient-specific deductible and accumulator status requires real-time payer integration (EDI 270/271), which is a significant technical and partnership challenge.</w:t>
      </w:r>
    </w:p>
    <w:p>
      <w:pPr>
        <w:pStyle w:val="ListParagraph"/>
        <w:numPr>
          <w:ilvl w:val="0"/>
          <w:numId w:val="11"/>
        </w:numPr>
        <w:spacing w:after="100" w:line="276"/>
      </w:pPr>
      <w:r>
        <w:rPr>
          <w:rFonts w:ascii="Arial" w:cs="Arial" w:eastAsia="Arial" w:hAnsi="Arial"/>
          <w:b/>
          <w:bCs/>
          <w:color w:val="1C2833"/>
          <w:sz w:val="22"/>
          <w:szCs w:val="22"/>
        </w:rPr>
        <w:t xml:space="preserve">Charity Care Database Maintenance: </w:t>
      </w:r>
      <w:r>
        <w:rPr>
          <w:rFonts w:ascii="Arial" w:cs="Arial" w:eastAsia="Arial" w:hAnsi="Arial"/>
          <w:color w:val="1C2833"/>
          <w:sz w:val="22"/>
          <w:szCs w:val="22"/>
        </w:rPr>
        <w:t xml:space="preserve">Hospital financial assistance policies change. Keeping the database current requires ongoing data collection effort.</w:t>
      </w:r>
    </w:p>
    <w:p>
      <w:pPr>
        <w:pStyle w:val="ListParagraph"/>
        <w:numPr>
          <w:ilvl w:val="0"/>
          <w:numId w:val="11"/>
        </w:numPr>
        <w:spacing w:after="100" w:line="276"/>
      </w:pPr>
      <w:r>
        <w:rPr>
          <w:rFonts w:ascii="Arial" w:cs="Arial" w:eastAsia="Arial" w:hAnsi="Arial"/>
          <w:b/>
          <w:bCs/>
          <w:color w:val="1C2833"/>
          <w:sz w:val="22"/>
          <w:szCs w:val="22"/>
        </w:rPr>
        <w:t xml:space="preserve">Equity: </w:t>
      </w:r>
      <w:r>
        <w:rPr>
          <w:rFonts w:ascii="Arial" w:cs="Arial" w:eastAsia="Arial" w:hAnsi="Arial"/>
          <w:color w:val="1C2833"/>
          <w:sz w:val="22"/>
          <w:szCs w:val="22"/>
        </w:rPr>
        <w:t xml:space="preserve">If Waypoint requires a smartphone, internet access, and digital literacy, it may fail to reach the populations most in need of financial assistance.</w:t>
      </w:r>
    </w:p>
    <w:p>
      <w:pPr>
        <w:spacing w:after="80"/>
      </w:pPr>
    </w:p>
    <w:p>
      <w:pPr>
        <w:spacing w:after="80"/>
      </w:pPr>
    </w:p>
    <w:p>
      <w:pPr>
        <w:pBdr>
          <w:top w:val="single" w:color="85C1E9" w:sz="2" w:space="12"/>
        </w:pBdr>
        <w:spacing w:before="400"/>
        <w:jc w:val="center"/>
      </w:pPr>
      <w:r>
        <w:rPr>
          <w:rFonts w:ascii="Arial" w:cs="Arial" w:eastAsia="Arial" w:hAnsi="Arial"/>
          <w:i/>
          <w:iCs/>
          <w:color w:val="5D6D7E"/>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tabs>
        <w:tab w:val="right" w:pos="9360"/>
      </w:tabs>
      <w:spacing w:before="0"/>
    </w:pPr>
    <w:r>
      <w:rPr>
        <w:rFonts w:ascii="Arial" w:cs="Arial" w:eastAsia="Arial" w:hAnsi="Arial"/>
        <w:color w:val="5D6D7E"/>
        <w:sz w:val="16"/>
        <w:szCs w:val="16"/>
      </w:rPr>
      <w:t xml:space="preserve">Confidential</w:t>
    </w:r>
    <w:r>
      <w:rPr>
        <w:rFonts w:ascii="Arial" w:cs="Arial" w:eastAsia="Arial" w:hAnsi="Arial"/>
      </w:rPr>
      <w:t xml:space="preserve">	</w:t>
    </w:r>
    <w:r>
      <w:rPr>
        <w:rFonts w:ascii="Arial" w:cs="Arial" w:eastAsia="Arial" w:hAnsi="Arial"/>
        <w:color w:val="5D6D7E"/>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2" w:space="4"/>
      </w:pBdr>
      <w:spacing w:after="0"/>
    </w:pPr>
    <w:r>
      <w:rPr>
        <w:rFonts w:ascii="Arial" w:cs="Arial" w:eastAsia="Arial" w:hAnsi="Arial"/>
        <w:b/>
        <w:bCs/>
        <w:color w:val="1B4F72"/>
        <w:sz w:val="18"/>
        <w:szCs w:val="18"/>
      </w:rPr>
      <w:t xml:space="preserve">WAYPOINT </w:t>
    </w:r>
    <w:r>
      <w:rPr>
        <w:rFonts w:ascii="Arial" w:cs="Arial" w:eastAsia="Arial" w:hAnsi="Arial"/>
        <w:color w:val="5D6D7E"/>
        <w:sz w:val="18"/>
        <w:szCs w:val="18"/>
      </w:rPr>
      <w:t xml:space="preserve">  |  Product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9"/>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C28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2026-02-21T05:10:19.123Z</dcterms:created>
  <dcterms:modified xsi:type="dcterms:W3CDTF">2026-02-21T05:10:19.124Z</dcterms:modified>
</cp:coreProperties>
</file>

<file path=docProps/custom.xml><?xml version="1.0" encoding="utf-8"?>
<Properties xmlns="http://schemas.openxmlformats.org/officeDocument/2006/custom-properties" xmlns:vt="http://schemas.openxmlformats.org/officeDocument/2006/docPropsVTypes"/>
</file>