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2AD0" w:rsidRDefault="00002280">
      <w:pPr>
        <w:spacing w:before="1440" w:after="160"/>
      </w:pPr>
      <w:r>
        <w:rPr>
          <w:rFonts w:ascii="Calibri Light" w:hAnsi="Calibri Light"/>
          <w:b/>
          <w:color w:val="1B365D"/>
          <w:sz w:val="56"/>
        </w:rPr>
        <w:t>DopaScore: Predicting Productivity Risk Bands from Digital Behavior Patterns</w:t>
      </w:r>
    </w:p>
    <w:p w:rsidR="00702AD0" w:rsidRDefault="00002280">
      <w:pPr>
        <w:spacing w:after="720"/>
      </w:pPr>
      <w:r>
        <w:rPr>
          <w:color w:val="4A5568"/>
          <w:sz w:val="28"/>
        </w:rPr>
        <w:t>An End-to-End Predictive Analytics &amp; Machine Learning Framework for Diagnosing Cognitive Impairment Driven by Digital Dopamine Loops</w:t>
      </w:r>
    </w:p>
    <w:tbl>
      <w:tblPr>
        <w:tblW w:w="0" w:type="auto"/>
        <w:tblLook w:val="04A0" w:firstRow="1" w:lastRow="0" w:firstColumn="1" w:lastColumn="0" w:noHBand="0" w:noVBand="1"/>
      </w:tblPr>
      <w:tblGrid>
        <w:gridCol w:w="3168"/>
        <w:gridCol w:w="6192"/>
      </w:tblGrid>
      <w:tr w:rsidR="00702AD0">
        <w:tc>
          <w:tcPr>
            <w:tcW w:w="3168" w:type="dxa"/>
          </w:tcPr>
          <w:p w:rsidR="00702AD0" w:rsidRDefault="00002280">
            <w:pPr>
              <w:spacing w:after="60"/>
            </w:pPr>
            <w:r>
              <w:rPr>
                <w:b/>
                <w:color w:val="1B365D"/>
              </w:rPr>
              <w:t>Candidate Name:</w:t>
            </w:r>
          </w:p>
        </w:tc>
        <w:tc>
          <w:tcPr>
            <w:tcW w:w="6192" w:type="dxa"/>
          </w:tcPr>
          <w:p w:rsidR="00702AD0" w:rsidRDefault="00002280">
            <w:pPr>
              <w:spacing w:after="60"/>
            </w:pPr>
            <w:r>
              <w:t>Suhani</w:t>
            </w:r>
          </w:p>
        </w:tc>
      </w:tr>
      <w:tr w:rsidR="00702AD0">
        <w:tc>
          <w:tcPr>
            <w:tcW w:w="3168" w:type="dxa"/>
          </w:tcPr>
          <w:p w:rsidR="00702AD0" w:rsidRDefault="00002280">
            <w:pPr>
              <w:spacing w:after="60"/>
            </w:pPr>
            <w:r>
              <w:rPr>
                <w:b/>
                <w:color w:val="1B365D"/>
              </w:rPr>
              <w:t xml:space="preserve">Internship </w:t>
            </w:r>
            <w:r>
              <w:rPr>
                <w:b/>
                <w:color w:val="1B365D"/>
              </w:rPr>
              <w:t>Track:</w:t>
            </w:r>
          </w:p>
        </w:tc>
        <w:tc>
          <w:tcPr>
            <w:tcW w:w="6192" w:type="dxa"/>
          </w:tcPr>
          <w:p w:rsidR="00702AD0" w:rsidRDefault="00002280">
            <w:pPr>
              <w:spacing w:after="60"/>
            </w:pPr>
            <w:r>
              <w:t>IBM SkillsBuild AICTE Internship — Data Analytics with AI</w:t>
            </w:r>
          </w:p>
        </w:tc>
      </w:tr>
      <w:tr w:rsidR="00702AD0">
        <w:tc>
          <w:tcPr>
            <w:tcW w:w="3168" w:type="dxa"/>
          </w:tcPr>
          <w:p w:rsidR="00702AD0" w:rsidRDefault="00002280">
            <w:pPr>
              <w:spacing w:after="60"/>
            </w:pPr>
            <w:r>
              <w:rPr>
                <w:b/>
                <w:color w:val="1B365D"/>
              </w:rPr>
              <w:t>Core Deliverable:</w:t>
            </w:r>
          </w:p>
        </w:tc>
        <w:tc>
          <w:tcPr>
            <w:tcW w:w="6192" w:type="dxa"/>
          </w:tcPr>
          <w:p w:rsidR="00702AD0" w:rsidRDefault="00002280">
            <w:pPr>
              <w:spacing w:after="60"/>
            </w:pPr>
            <w:r>
              <w:t>Multi-Class Predictive Classification &amp; Behavioral Analytics</w:t>
            </w:r>
          </w:p>
        </w:tc>
      </w:tr>
      <w:tr w:rsidR="00702AD0">
        <w:tc>
          <w:tcPr>
            <w:tcW w:w="3168" w:type="dxa"/>
          </w:tcPr>
          <w:p w:rsidR="00702AD0" w:rsidRDefault="00002280">
            <w:pPr>
              <w:spacing w:after="60"/>
            </w:pPr>
            <w:r>
              <w:rPr>
                <w:b/>
                <w:color w:val="1B365D"/>
              </w:rPr>
              <w:t>Target Classification:</w:t>
            </w:r>
          </w:p>
        </w:tc>
        <w:tc>
          <w:tcPr>
            <w:tcW w:w="6192" w:type="dxa"/>
          </w:tcPr>
          <w:p w:rsidR="00702AD0" w:rsidRDefault="00002280">
            <w:pPr>
              <w:spacing w:after="60"/>
            </w:pPr>
            <w:r>
              <w:t>Productivity Risk Bands (None/Minimal, Early, Moderate, Severe, Critical)</w:t>
            </w:r>
          </w:p>
        </w:tc>
      </w:tr>
      <w:tr w:rsidR="00702AD0">
        <w:tc>
          <w:tcPr>
            <w:tcW w:w="3168" w:type="dxa"/>
          </w:tcPr>
          <w:p w:rsidR="00702AD0" w:rsidRDefault="00002280">
            <w:pPr>
              <w:spacing w:after="60"/>
            </w:pPr>
            <w:r>
              <w:rPr>
                <w:b/>
                <w:color w:val="1B365D"/>
              </w:rPr>
              <w:t>Date of Subm</w:t>
            </w:r>
            <w:r>
              <w:rPr>
                <w:b/>
                <w:color w:val="1B365D"/>
              </w:rPr>
              <w:t>ission:</w:t>
            </w:r>
          </w:p>
        </w:tc>
        <w:tc>
          <w:tcPr>
            <w:tcW w:w="6192" w:type="dxa"/>
          </w:tcPr>
          <w:p w:rsidR="00702AD0" w:rsidRDefault="00002280">
            <w:pPr>
              <w:spacing w:after="60"/>
            </w:pPr>
            <w:r>
              <w:t>September 2026</w:t>
            </w:r>
          </w:p>
        </w:tc>
      </w:tr>
    </w:tbl>
    <w:p w:rsidR="00702AD0" w:rsidRDefault="00002280">
      <w:pPr>
        <w:spacing w:before="960" w:after="160"/>
      </w:pPr>
      <w:r>
        <w:rPr>
          <w:b/>
          <w:color w:val="1B365D"/>
          <w:sz w:val="24"/>
        </w:rPr>
        <w:t>Executive Abstract</w:t>
      </w:r>
    </w:p>
    <w:p w:rsidR="00702AD0" w:rsidRDefault="00002280">
      <w:pPr>
        <w:spacing w:line="300" w:lineRule="auto"/>
      </w:pPr>
      <w:r>
        <w:t xml:space="preserve">In the contemporary attention economy, algorithmic social media feeds and instant digital gratification mechanisms pose significant threats to cognitive resilience and sustained productivity. This report presents </w:t>
      </w:r>
      <w:r>
        <w:t xml:space="preserve">DopaScore, an end-to-end data analytics and machine learning solution built for the IBM SkillsBuild AICTE internship. Operating on a 66-feature behavioral dataset, the study first conducts a critical data audit that successfully identifies and resolves an </w:t>
      </w:r>
      <w:r>
        <w:t>uploader mislabeling anomaly between 'productivity_decline_score' and 'severity_stage'. To prevent synthetic data leakage, all downstream composite outcome scores are strictly isolated. A robust multi-class pipeline—evaluating Multinomial Logistic Regressi</w:t>
      </w:r>
      <w:r>
        <w:t>on, Random Forest, and Gradient Boosting—demonstrates that behavioral markers alone achieve over 98% macro F1-score across five ordinal risk bands. Feature importance analysis uncovers that daily reading duration, sustained attention span, screen time thre</w:t>
      </w:r>
      <w:r>
        <w:t xml:space="preserve">sholds, and FOMO reactivity serve as the primary diagnostic indicators of focus impairment. The winning Random Forest pipeline is serialized into an interactive Streamlit web application to provide instantaneous, real-time risk assessment and prescriptive </w:t>
      </w:r>
      <w:r>
        <w:t>digital hygiene protocols.</w:t>
      </w:r>
    </w:p>
    <w:p w:rsidR="00702AD0" w:rsidRDefault="00002280">
      <w:r>
        <w:lastRenderedPageBreak/>
        <w:br w:type="page"/>
      </w:r>
    </w:p>
    <w:p w:rsidR="00702AD0" w:rsidRDefault="00002280">
      <w:pPr>
        <w:pStyle w:val="Heading1"/>
        <w:spacing w:before="320" w:after="120"/>
      </w:pPr>
      <w:r>
        <w:lastRenderedPageBreak/>
        <w:t>1. Problem Statement &amp; Motivation</w:t>
      </w:r>
    </w:p>
    <w:p w:rsidR="00702AD0" w:rsidRDefault="00002280">
      <w:r>
        <w:t xml:space="preserve">The proliferation of hyper-personalized digital platforms—ranging from short-form algorithmic video streams to gamified social communication networks—has introduced unprecedented </w:t>
      </w:r>
      <w:r>
        <w:t>friction into human attentional systems. While digital platforms deliver instant connectivity and frictionless entertainment, their underlying monetization architectures rely heavily on persuasive design loops: variable reward schedules, notification nudge</w:t>
      </w:r>
      <w:r>
        <w:t>s, infinite scroll feeds, and autoplay triggers. These mechanisms directly stimulate neurological dopamine pathways, creating compulsive habit loops that mimic substance dependency characteristics.</w:t>
      </w:r>
    </w:p>
    <w:p w:rsidR="00702AD0" w:rsidRDefault="00002280">
      <w:r>
        <w:t>For students, knowledge workers, and technical professiona</w:t>
      </w:r>
      <w:r>
        <w:t>ls, chronic digital hyper-stimulation produces a phenomenon increasingly recognized by cognitive neuroscientists: attention fragmentation. When individuals repeatedly alternate between primary cognitive tasks and digital micro-rewards, the brain incurs sig</w:t>
      </w:r>
      <w:r>
        <w:t>nificant 'switch costs,' impairing prefrontal executive function, shortening working memory retention, and drastically compressing the capacity for uninterrupted deep work. Left unchecked, early-stage digital distraction systematically metastasizes into ac</w:t>
      </w:r>
      <w:r>
        <w:t>ute productivity impairment, decision fatigue, sleep deprivation, and chronic psychological distress.</w:t>
      </w:r>
    </w:p>
    <w:tbl>
      <w:tblPr>
        <w:tblW w:w="0" w:type="auto"/>
        <w:jc w:val="center"/>
        <w:tblLook w:val="04A0" w:firstRow="1" w:lastRow="0" w:firstColumn="1" w:lastColumn="0" w:noHBand="0" w:noVBand="1"/>
      </w:tblPr>
      <w:tblGrid>
        <w:gridCol w:w="9360"/>
      </w:tblGrid>
      <w:tr w:rsidR="00702AD0">
        <w:trPr>
          <w:jc w:val="center"/>
        </w:trPr>
        <w:tc>
          <w:tcPr>
            <w:tcW w:w="9360" w:type="dxa"/>
            <w:tcBorders>
              <w:left w:val="single" w:sz="24" w:space="0" w:color="0D9488"/>
            </w:tcBorders>
            <w:shd w:val="clear" w:color="auto" w:fill="F0FDF4"/>
            <w:tcMar>
              <w:top w:w="140" w:type="dxa"/>
              <w:left w:w="200" w:type="dxa"/>
              <w:bottom w:w="140" w:type="dxa"/>
              <w:right w:w="200" w:type="dxa"/>
            </w:tcMar>
          </w:tcPr>
          <w:p w:rsidR="00702AD0" w:rsidRDefault="00002280">
            <w:pPr>
              <w:spacing w:before="40" w:after="40" w:line="276" w:lineRule="auto"/>
            </w:pPr>
            <w:r>
              <w:rPr>
                <w:b/>
                <w:color w:val="0D9488"/>
                <w:sz w:val="21"/>
              </w:rPr>
              <w:t xml:space="preserve">[STRATEGIC MOTIVATION] </w:t>
            </w:r>
            <w:r>
              <w:rPr>
                <w:sz w:val="21"/>
              </w:rPr>
              <w:t>Digital dopamine dysregulation is not merely an individual time-management failing; it represents a systemic public health and econ</w:t>
            </w:r>
            <w:r>
              <w:rPr>
                <w:sz w:val="21"/>
              </w:rPr>
              <w:t>omic challenge. Predicting productivity impairment before individuals reach critical executive dysfunction enables timely, non-invasive behavioral interventions.</w:t>
            </w:r>
          </w:p>
        </w:tc>
      </w:tr>
    </w:tbl>
    <w:p w:rsidR="00702AD0" w:rsidRDefault="00702AD0">
      <w:pPr>
        <w:spacing w:after="40"/>
      </w:pPr>
    </w:p>
    <w:p w:rsidR="00702AD0" w:rsidRDefault="00002280">
      <w:r>
        <w:t>Existing consumer wellness tools primarily offer naive descriptive telemetry (e.g., aggregat</w:t>
      </w:r>
      <w:r>
        <w:t xml:space="preserve">e screen time tallies) without providing diagnostic context or predictive foresight. Crucially, raw hours alone do not capture the multidimensional nature of digital dependency; an individual studying for 8 hours on a screen exhibits an entirely different </w:t>
      </w:r>
      <w:r>
        <w:t>neurological footprint than one doomscrolling algorithmic reels for 8 hours. The objective of Project DopaScore is to construct an intelligent, multi-class diagnostic framework that ingests genuine behavioral habits, dopamine-trigger scores, cognitive endu</w:t>
      </w:r>
      <w:r>
        <w:t>rance markers, and lifestyle factors to categorize individuals into actionable Productivity Risk Bands: None/Minimal, Early, Moderate, Severe, and Critical.</w:t>
      </w:r>
    </w:p>
    <w:p w:rsidR="00702AD0" w:rsidRDefault="00002280">
      <w:pPr>
        <w:pStyle w:val="Heading1"/>
        <w:spacing w:before="320" w:after="120"/>
      </w:pPr>
      <w:r>
        <w:t>2. Dataset Architecture &amp; Critical Data Audit</w:t>
      </w:r>
    </w:p>
    <w:p w:rsidR="00702AD0" w:rsidRDefault="00002280">
      <w:r>
        <w:t>The analysis investigates the dataset 'social_media_d</w:t>
      </w:r>
      <w:r>
        <w:t>opamine_productivity.csv', originally comprising 305 raw rows and 66 feature columns spanning demographic backgrounds, social media usage habits, psychological dopamine indicators, cognitive focus metrics, and digital addiction scores.</w:t>
      </w:r>
    </w:p>
    <w:p w:rsidR="00702AD0" w:rsidRDefault="00002280">
      <w:pPr>
        <w:pStyle w:val="Heading2"/>
        <w:spacing w:before="240" w:after="80"/>
      </w:pPr>
      <w:r>
        <w:lastRenderedPageBreak/>
        <w:t>2.1 The Mislabeled C</w:t>
      </w:r>
      <w:r>
        <w:t>olumn Anomaly: Detection &amp; Resolution</w:t>
      </w:r>
    </w:p>
    <w:p w:rsidR="00702AD0" w:rsidRDefault="00002280">
      <w:r>
        <w:t>A foundational tenet of senior data science practice is rigorous exploratory schema auditing prior to feature engineering. A preliminary programmatic inspection of the raw dataset uncovered a critical discrepancy in tw</w:t>
      </w:r>
      <w:r>
        <w:t>o pivotal columns: 'productivity_decline_score' and 'severity_stage'.</w:t>
      </w:r>
    </w:p>
    <w:p w:rsidR="00702AD0" w:rsidRDefault="00002280">
      <w:r>
        <w:t>According to conventional expectations, a column suffixed with '_score' would be expected to contain numeric continuous values, whereas 'severity_stage' would be expected to contain cate</w:t>
      </w:r>
      <w:r>
        <w:t>gorical stages. However, empirical inspection of the raw records revealed that the dataset uploader had erroneously inverted or shifted the column headers:</w:t>
      </w:r>
    </w:p>
    <w:tbl>
      <w:tblPr>
        <w:tblW w:w="0" w:type="auto"/>
        <w:jc w:val="center"/>
        <w:tblLook w:val="04A0" w:firstRow="1" w:lastRow="0" w:firstColumn="1" w:lastColumn="0" w:noHBand="0" w:noVBand="1"/>
      </w:tblPr>
      <w:tblGrid>
        <w:gridCol w:w="3120"/>
        <w:gridCol w:w="3120"/>
        <w:gridCol w:w="3120"/>
      </w:tblGrid>
      <w:tr w:rsidR="00702AD0">
        <w:trPr>
          <w:jc w:val="center"/>
        </w:trPr>
        <w:tc>
          <w:tcPr>
            <w:tcW w:w="3120" w:type="dxa"/>
            <w:shd w:val="clear" w:color="auto" w:fill="1B365D"/>
            <w:tcMar>
              <w:top w:w="100" w:type="dxa"/>
              <w:left w:w="120" w:type="dxa"/>
              <w:bottom w:w="100" w:type="dxa"/>
              <w:right w:w="120" w:type="dxa"/>
            </w:tcMar>
          </w:tcPr>
          <w:p w:rsidR="00702AD0" w:rsidRDefault="00002280">
            <w:r>
              <w:rPr>
                <w:b/>
                <w:color w:val="FFFFFF"/>
                <w:sz w:val="20"/>
              </w:rPr>
              <w:t>Audit Dimension</w:t>
            </w:r>
          </w:p>
        </w:tc>
        <w:tc>
          <w:tcPr>
            <w:tcW w:w="3120" w:type="dxa"/>
            <w:shd w:val="clear" w:color="auto" w:fill="1B365D"/>
            <w:tcMar>
              <w:top w:w="100" w:type="dxa"/>
              <w:left w:w="120" w:type="dxa"/>
              <w:bottom w:w="100" w:type="dxa"/>
              <w:right w:w="120" w:type="dxa"/>
            </w:tcMar>
          </w:tcPr>
          <w:p w:rsidR="00702AD0" w:rsidRDefault="00002280">
            <w:r>
              <w:rPr>
                <w:b/>
                <w:color w:val="FFFFFF"/>
                <w:sz w:val="20"/>
              </w:rPr>
              <w:t>Column: productivity_decline_score</w:t>
            </w:r>
          </w:p>
        </w:tc>
        <w:tc>
          <w:tcPr>
            <w:tcW w:w="3120" w:type="dxa"/>
            <w:shd w:val="clear" w:color="auto" w:fill="1B365D"/>
            <w:tcMar>
              <w:top w:w="100" w:type="dxa"/>
              <w:left w:w="120" w:type="dxa"/>
              <w:bottom w:w="100" w:type="dxa"/>
              <w:right w:w="120" w:type="dxa"/>
            </w:tcMar>
          </w:tcPr>
          <w:p w:rsidR="00702AD0" w:rsidRDefault="00002280">
            <w:r>
              <w:rPr>
                <w:b/>
                <w:color w:val="FFFFFF"/>
                <w:sz w:val="20"/>
              </w:rPr>
              <w:t>Column: severity_stage</w:t>
            </w:r>
          </w:p>
        </w:tc>
      </w:tr>
      <w:tr w:rsidR="00702AD0">
        <w:trPr>
          <w:jc w:val="center"/>
        </w:trPr>
        <w:tc>
          <w:tcPr>
            <w:tcW w:w="3120" w:type="dxa"/>
            <w:shd w:val="clear" w:color="auto" w:fill="F8FAFC"/>
            <w:tcMar>
              <w:top w:w="80" w:type="dxa"/>
              <w:left w:w="100" w:type="dxa"/>
              <w:bottom w:w="80" w:type="dxa"/>
              <w:right w:w="100" w:type="dxa"/>
            </w:tcMar>
          </w:tcPr>
          <w:p w:rsidR="00702AD0" w:rsidRDefault="00002280">
            <w:r>
              <w:rPr>
                <w:b/>
                <w:color w:val="1B365D"/>
                <w:sz w:val="19"/>
              </w:rPr>
              <w:t>Actual Data Type</w:t>
            </w:r>
          </w:p>
        </w:tc>
        <w:tc>
          <w:tcPr>
            <w:tcW w:w="3120" w:type="dxa"/>
            <w:shd w:val="clear" w:color="auto" w:fill="F8FAFC"/>
            <w:tcMar>
              <w:top w:w="80" w:type="dxa"/>
              <w:left w:w="100" w:type="dxa"/>
              <w:bottom w:w="80" w:type="dxa"/>
              <w:right w:w="100" w:type="dxa"/>
            </w:tcMar>
          </w:tcPr>
          <w:p w:rsidR="00702AD0" w:rsidRDefault="00002280">
            <w:r>
              <w:rPr>
                <w:sz w:val="19"/>
              </w:rPr>
              <w:t>Categorical / String (object)</w:t>
            </w:r>
          </w:p>
        </w:tc>
        <w:tc>
          <w:tcPr>
            <w:tcW w:w="3120" w:type="dxa"/>
            <w:shd w:val="clear" w:color="auto" w:fill="F8FAFC"/>
            <w:tcMar>
              <w:top w:w="80" w:type="dxa"/>
              <w:left w:w="100" w:type="dxa"/>
              <w:bottom w:w="80" w:type="dxa"/>
              <w:right w:w="100" w:type="dxa"/>
            </w:tcMar>
          </w:tcPr>
          <w:p w:rsidR="00702AD0" w:rsidRDefault="00002280">
            <w:r>
              <w:rPr>
                <w:sz w:val="19"/>
              </w:rPr>
              <w:t>Categorical / String (object)</w:t>
            </w:r>
          </w:p>
        </w:tc>
      </w:tr>
      <w:tr w:rsidR="00702AD0">
        <w:trPr>
          <w:jc w:val="center"/>
        </w:trPr>
        <w:tc>
          <w:tcPr>
            <w:tcW w:w="3120" w:type="dxa"/>
            <w:shd w:val="clear" w:color="auto" w:fill="FFFFFF"/>
            <w:tcMar>
              <w:top w:w="80" w:type="dxa"/>
              <w:left w:w="100" w:type="dxa"/>
              <w:bottom w:w="80" w:type="dxa"/>
              <w:right w:w="100" w:type="dxa"/>
            </w:tcMar>
          </w:tcPr>
          <w:p w:rsidR="00702AD0" w:rsidRDefault="00002280">
            <w:r>
              <w:rPr>
                <w:b/>
                <w:color w:val="1B365D"/>
                <w:sz w:val="19"/>
              </w:rPr>
              <w:t>Observed Values</w:t>
            </w:r>
          </w:p>
        </w:tc>
        <w:tc>
          <w:tcPr>
            <w:tcW w:w="3120" w:type="dxa"/>
            <w:shd w:val="clear" w:color="auto" w:fill="FFFFFF"/>
            <w:tcMar>
              <w:top w:w="80" w:type="dxa"/>
              <w:left w:w="100" w:type="dxa"/>
              <w:bottom w:w="80" w:type="dxa"/>
              <w:right w:w="100" w:type="dxa"/>
            </w:tcMar>
          </w:tcPr>
          <w:p w:rsidR="00702AD0" w:rsidRDefault="00002280">
            <w:r>
              <w:rPr>
                <w:sz w:val="19"/>
              </w:rPr>
              <w:t>['None/Minimal', 'Early', 'Moderate', 'Severe', 'Critical']</w:t>
            </w:r>
          </w:p>
        </w:tc>
        <w:tc>
          <w:tcPr>
            <w:tcW w:w="3120" w:type="dxa"/>
            <w:shd w:val="clear" w:color="auto" w:fill="FFFFFF"/>
            <w:tcMar>
              <w:top w:w="80" w:type="dxa"/>
              <w:left w:w="100" w:type="dxa"/>
              <w:bottom w:w="80" w:type="dxa"/>
              <w:right w:w="100" w:type="dxa"/>
            </w:tcMar>
          </w:tcPr>
          <w:p w:rsidR="00702AD0" w:rsidRDefault="00002280">
            <w:r>
              <w:rPr>
                <w:sz w:val="19"/>
              </w:rPr>
              <w:t>['Boredom', 'FOMO', 'Comparison', 'Validation seeking', ...]</w:t>
            </w:r>
          </w:p>
        </w:tc>
      </w:tr>
      <w:tr w:rsidR="00702AD0">
        <w:trPr>
          <w:jc w:val="center"/>
        </w:trPr>
        <w:tc>
          <w:tcPr>
            <w:tcW w:w="3120" w:type="dxa"/>
            <w:shd w:val="clear" w:color="auto" w:fill="F8FAFC"/>
            <w:tcMar>
              <w:top w:w="80" w:type="dxa"/>
              <w:left w:w="100" w:type="dxa"/>
              <w:bottom w:w="80" w:type="dxa"/>
              <w:right w:w="100" w:type="dxa"/>
            </w:tcMar>
          </w:tcPr>
          <w:p w:rsidR="00702AD0" w:rsidRDefault="00002280">
            <w:r>
              <w:rPr>
                <w:b/>
                <w:color w:val="1B365D"/>
                <w:sz w:val="19"/>
              </w:rPr>
              <w:t>Null Count</w:t>
            </w:r>
          </w:p>
        </w:tc>
        <w:tc>
          <w:tcPr>
            <w:tcW w:w="3120" w:type="dxa"/>
            <w:shd w:val="clear" w:color="auto" w:fill="F8FAFC"/>
            <w:tcMar>
              <w:top w:w="80" w:type="dxa"/>
              <w:left w:w="100" w:type="dxa"/>
              <w:bottom w:w="80" w:type="dxa"/>
              <w:right w:w="100" w:type="dxa"/>
            </w:tcMar>
          </w:tcPr>
          <w:p w:rsidR="00702AD0" w:rsidRDefault="00002280">
            <w:r>
              <w:rPr>
                <w:sz w:val="19"/>
              </w:rPr>
              <w:t>5 missing rows (100% empty artifact rows)</w:t>
            </w:r>
          </w:p>
        </w:tc>
        <w:tc>
          <w:tcPr>
            <w:tcW w:w="3120" w:type="dxa"/>
            <w:shd w:val="clear" w:color="auto" w:fill="F8FAFC"/>
            <w:tcMar>
              <w:top w:w="80" w:type="dxa"/>
              <w:left w:w="100" w:type="dxa"/>
              <w:bottom w:w="80" w:type="dxa"/>
              <w:right w:w="100" w:type="dxa"/>
            </w:tcMar>
          </w:tcPr>
          <w:p w:rsidR="00702AD0" w:rsidRDefault="00002280">
            <w:r>
              <w:rPr>
                <w:sz w:val="19"/>
              </w:rPr>
              <w:t xml:space="preserve">94 </w:t>
            </w:r>
            <w:r>
              <w:rPr>
                <w:sz w:val="19"/>
              </w:rPr>
              <w:t>missing rows (31.3% valid nulls)</w:t>
            </w:r>
          </w:p>
        </w:tc>
      </w:tr>
      <w:tr w:rsidR="00702AD0">
        <w:trPr>
          <w:jc w:val="center"/>
        </w:trPr>
        <w:tc>
          <w:tcPr>
            <w:tcW w:w="3120" w:type="dxa"/>
            <w:shd w:val="clear" w:color="auto" w:fill="FFFFFF"/>
            <w:tcMar>
              <w:top w:w="80" w:type="dxa"/>
              <w:left w:w="100" w:type="dxa"/>
              <w:bottom w:w="80" w:type="dxa"/>
              <w:right w:w="100" w:type="dxa"/>
            </w:tcMar>
          </w:tcPr>
          <w:p w:rsidR="00702AD0" w:rsidRDefault="00002280">
            <w:r>
              <w:rPr>
                <w:b/>
                <w:color w:val="1B365D"/>
                <w:sz w:val="19"/>
              </w:rPr>
              <w:t>True Semantic Meaning</w:t>
            </w:r>
          </w:p>
        </w:tc>
        <w:tc>
          <w:tcPr>
            <w:tcW w:w="3120" w:type="dxa"/>
            <w:shd w:val="clear" w:color="auto" w:fill="FFFFFF"/>
            <w:tcMar>
              <w:top w:w="80" w:type="dxa"/>
              <w:left w:w="100" w:type="dxa"/>
              <w:bottom w:w="80" w:type="dxa"/>
              <w:right w:w="100" w:type="dxa"/>
            </w:tcMar>
          </w:tcPr>
          <w:p w:rsidR="00702AD0" w:rsidRDefault="00002280">
            <w:r>
              <w:rPr>
                <w:sz w:val="19"/>
              </w:rPr>
              <w:t>Ordinal Productivity Risk Bands (The true target)</w:t>
            </w:r>
          </w:p>
        </w:tc>
        <w:tc>
          <w:tcPr>
            <w:tcW w:w="3120" w:type="dxa"/>
            <w:shd w:val="clear" w:color="auto" w:fill="FFFFFF"/>
            <w:tcMar>
              <w:top w:w="80" w:type="dxa"/>
              <w:left w:w="100" w:type="dxa"/>
              <w:bottom w:w="80" w:type="dxa"/>
              <w:right w:w="100" w:type="dxa"/>
            </w:tcMar>
          </w:tcPr>
          <w:p w:rsidR="00702AD0" w:rsidRDefault="00002280">
            <w:r>
              <w:rPr>
                <w:sz w:val="19"/>
              </w:rPr>
              <w:t>Relapse / Behavioral Trigger Reasons</w:t>
            </w:r>
          </w:p>
        </w:tc>
      </w:tr>
      <w:tr w:rsidR="00702AD0">
        <w:trPr>
          <w:jc w:val="center"/>
        </w:trPr>
        <w:tc>
          <w:tcPr>
            <w:tcW w:w="3120" w:type="dxa"/>
            <w:shd w:val="clear" w:color="auto" w:fill="F8FAFC"/>
            <w:tcMar>
              <w:top w:w="80" w:type="dxa"/>
              <w:left w:w="100" w:type="dxa"/>
              <w:bottom w:w="80" w:type="dxa"/>
              <w:right w:w="100" w:type="dxa"/>
            </w:tcMar>
          </w:tcPr>
          <w:p w:rsidR="00702AD0" w:rsidRDefault="00002280">
            <w:r>
              <w:rPr>
                <w:b/>
                <w:color w:val="1B365D"/>
                <w:sz w:val="19"/>
              </w:rPr>
              <w:t>Engineering Action</w:t>
            </w:r>
          </w:p>
        </w:tc>
        <w:tc>
          <w:tcPr>
            <w:tcW w:w="3120" w:type="dxa"/>
            <w:shd w:val="clear" w:color="auto" w:fill="F8FAFC"/>
            <w:tcMar>
              <w:top w:w="80" w:type="dxa"/>
              <w:left w:w="100" w:type="dxa"/>
              <w:bottom w:w="80" w:type="dxa"/>
              <w:right w:w="100" w:type="dxa"/>
            </w:tcMar>
          </w:tcPr>
          <w:p w:rsidR="00702AD0" w:rsidRDefault="00002280">
            <w:r>
              <w:rPr>
                <w:sz w:val="19"/>
              </w:rPr>
              <w:t>Formally renamed to 'productivity_risk_band' (Target)</w:t>
            </w:r>
          </w:p>
        </w:tc>
        <w:tc>
          <w:tcPr>
            <w:tcW w:w="3120" w:type="dxa"/>
            <w:shd w:val="clear" w:color="auto" w:fill="F8FAFC"/>
            <w:tcMar>
              <w:top w:w="80" w:type="dxa"/>
              <w:left w:w="100" w:type="dxa"/>
              <w:bottom w:w="80" w:type="dxa"/>
              <w:right w:w="100" w:type="dxa"/>
            </w:tcMar>
          </w:tcPr>
          <w:p w:rsidR="00702AD0" w:rsidRDefault="00002280">
            <w:r>
              <w:rPr>
                <w:sz w:val="19"/>
              </w:rPr>
              <w:t>Excluded from feature set to avoid nois</w:t>
            </w:r>
            <w:r>
              <w:rPr>
                <w:sz w:val="19"/>
              </w:rPr>
              <w:t>e &amp; leakage</w:t>
            </w:r>
          </w:p>
        </w:tc>
      </w:tr>
    </w:tbl>
    <w:p w:rsidR="00702AD0" w:rsidRDefault="00702AD0">
      <w:pPr>
        <w:spacing w:after="80"/>
      </w:pPr>
    </w:p>
    <w:tbl>
      <w:tblPr>
        <w:tblW w:w="0" w:type="auto"/>
        <w:jc w:val="center"/>
        <w:tblLook w:val="04A0" w:firstRow="1" w:lastRow="0" w:firstColumn="1" w:lastColumn="0" w:noHBand="0" w:noVBand="1"/>
      </w:tblPr>
      <w:tblGrid>
        <w:gridCol w:w="9360"/>
      </w:tblGrid>
      <w:tr w:rsidR="00702AD0">
        <w:trPr>
          <w:jc w:val="center"/>
        </w:trPr>
        <w:tc>
          <w:tcPr>
            <w:tcW w:w="9360" w:type="dxa"/>
            <w:tcBorders>
              <w:left w:val="single" w:sz="24" w:space="0" w:color="0D9488"/>
            </w:tcBorders>
            <w:shd w:val="clear" w:color="auto" w:fill="F0FDF4"/>
            <w:tcMar>
              <w:top w:w="140" w:type="dxa"/>
              <w:left w:w="200" w:type="dxa"/>
              <w:bottom w:w="140" w:type="dxa"/>
              <w:right w:w="200" w:type="dxa"/>
            </w:tcMar>
          </w:tcPr>
          <w:p w:rsidR="00702AD0" w:rsidRDefault="00002280">
            <w:pPr>
              <w:spacing w:before="40" w:after="40" w:line="276" w:lineRule="auto"/>
            </w:pPr>
            <w:r>
              <w:rPr>
                <w:b/>
                <w:color w:val="0D9488"/>
                <w:sz w:val="21"/>
              </w:rPr>
              <w:t xml:space="preserve">[DATA VERIFICATION] </w:t>
            </w:r>
            <w:r>
              <w:rPr>
                <w:sz w:val="21"/>
              </w:rPr>
              <w:t xml:space="preserve">Direct verification confirmed that 'productivity_decline_score' unequivocally contains the ordinal risk categories. Renaming this field to 'productivity_risk_band' provided an unambiguous ground truth target, while </w:t>
            </w:r>
            <w:r>
              <w:rPr>
                <w:sz w:val="21"/>
              </w:rPr>
              <w:t>removing 'severity_stage' eliminated noise caused by its 89 missing trigger values.</w:t>
            </w:r>
          </w:p>
        </w:tc>
      </w:tr>
    </w:tbl>
    <w:p w:rsidR="00702AD0" w:rsidRDefault="00702AD0">
      <w:pPr>
        <w:spacing w:after="40"/>
      </w:pPr>
    </w:p>
    <w:p w:rsidR="00702AD0" w:rsidRDefault="00002280">
      <w:pPr>
        <w:pStyle w:val="Heading2"/>
        <w:spacing w:before="240" w:after="80"/>
      </w:pPr>
      <w:r>
        <w:t>2.2 Data Cleaning &amp; Artifact Removal</w:t>
      </w:r>
    </w:p>
    <w:p w:rsidR="00702AD0" w:rsidRDefault="00002280">
      <w:r>
        <w:t>Analysis of the 5 missing values in 'productivity_decline_score' revealed that rows at indices 0, 61, 122, 183, and 244 were complete</w:t>
      </w:r>
      <w:r>
        <w:t>ly empty artifact dividers (containing NaN across all 66 columns), likely generated during synthetic batch collation. Dropping these 5 blank records left exactly 300 complete, high-fidelity participant records with zero missing values across all primary fe</w:t>
      </w:r>
      <w:r>
        <w:t>atures except 'secondary_platform' (3 nulls, cleanly handled via imputation).</w:t>
      </w:r>
    </w:p>
    <w:p w:rsidR="00702AD0" w:rsidRDefault="00002280">
      <w:pPr>
        <w:pStyle w:val="Heading1"/>
        <w:spacing w:before="320" w:after="120"/>
      </w:pPr>
      <w:r>
        <w:lastRenderedPageBreak/>
        <w:t>3. Methodology &amp; Leakage Prevention</w:t>
      </w:r>
    </w:p>
    <w:p w:rsidR="00702AD0" w:rsidRDefault="00002280">
      <w:pPr>
        <w:pStyle w:val="Heading2"/>
        <w:spacing w:before="240" w:after="80"/>
      </w:pPr>
      <w:r>
        <w:t>3.1 Rigorous Prevention of Target Leakage</w:t>
      </w:r>
    </w:p>
    <w:p w:rsidR="00702AD0" w:rsidRDefault="00002280">
      <w:r>
        <w:t xml:space="preserve">A pervasive vulnerability in synthetic and tabular data analytics is target leakage—the inadvertent </w:t>
      </w:r>
      <w:r>
        <w:t>inclusion of predictor variables that are downstream consequences or mathematical transformations of the target variable. In this dataset, six columns represented composite outcome indices:</w:t>
      </w:r>
    </w:p>
    <w:p w:rsidR="00702AD0" w:rsidRDefault="00002280">
      <w:pPr>
        <w:pStyle w:val="ListBullet"/>
        <w:spacing w:after="40"/>
      </w:pPr>
      <w:r>
        <w:rPr>
          <w:sz w:val="21"/>
        </w:rPr>
        <w:t xml:space="preserve">sm_addiction_risk_score: A post-hoc synthetic composite addiction </w:t>
      </w:r>
      <w:r>
        <w:rPr>
          <w:sz w:val="21"/>
        </w:rPr>
        <w:t>rating.</w:t>
      </w:r>
    </w:p>
    <w:p w:rsidR="00702AD0" w:rsidRDefault="00002280">
      <w:pPr>
        <w:pStyle w:val="ListBullet"/>
        <w:spacing w:after="40"/>
      </w:pPr>
      <w:r>
        <w:rPr>
          <w:sz w:val="21"/>
        </w:rPr>
        <w:t>digital_wellbeing_score: An aggregate wellness index inversely derived from risk.</w:t>
      </w:r>
    </w:p>
    <w:p w:rsidR="00702AD0" w:rsidRDefault="00002280">
      <w:pPr>
        <w:pStyle w:val="ListBullet"/>
        <w:spacing w:after="40"/>
      </w:pPr>
      <w:r>
        <w:rPr>
          <w:sz w:val="21"/>
        </w:rPr>
        <w:t>dopamine_dysregulation_index: A synthetic index calculated from digital behaviors.</w:t>
      </w:r>
    </w:p>
    <w:p w:rsidR="00702AD0" w:rsidRDefault="00002280">
      <w:pPr>
        <w:pStyle w:val="ListBullet"/>
        <w:spacing w:after="40"/>
      </w:pPr>
      <w:r>
        <w:rPr>
          <w:sz w:val="21"/>
        </w:rPr>
        <w:t>productivity_self_rating: A self-reported reflection of productivity impairment.</w:t>
      </w:r>
    </w:p>
    <w:p w:rsidR="00702AD0" w:rsidRDefault="00002280">
      <w:pPr>
        <w:pStyle w:val="ListBullet"/>
        <w:spacing w:after="40"/>
      </w:pPr>
      <w:r>
        <w:rPr>
          <w:sz w:val="21"/>
        </w:rPr>
        <w:t>wo</w:t>
      </w:r>
      <w:r>
        <w:rPr>
          <w:sz w:val="21"/>
        </w:rPr>
        <w:t>rk_quality_self_rating: A direct outcome measure of productivity decline.</w:t>
      </w:r>
    </w:p>
    <w:p w:rsidR="00702AD0" w:rsidRDefault="00002280">
      <w:pPr>
        <w:pStyle w:val="ListBullet"/>
        <w:spacing w:after="40"/>
      </w:pPr>
      <w:r>
        <w:rPr>
          <w:sz w:val="21"/>
        </w:rPr>
        <w:t>tasks_completed_per_day: An empirical output count reflecting productivity impairment.</w:t>
      </w:r>
    </w:p>
    <w:p w:rsidR="00702AD0" w:rsidRDefault="00002280">
      <w:r>
        <w:t>Retaining any of these six outcome variables would cause catastrophic data leakage, artificiall</w:t>
      </w:r>
      <w:r>
        <w:t>y inflating accuracy to trivial perfection while rendering the model useless for prospective screening. Accordingly, all six columns were strictly eliminated from the feature matrix. Non-predictive metadata (participant_id, data_source, synthetic_flag, not</w:t>
      </w:r>
      <w:r>
        <w:t>es) were likewise discarded, leaving 54 genuine behavioral, psychological, and demographic input features.</w:t>
      </w:r>
    </w:p>
    <w:p w:rsidR="00702AD0" w:rsidRDefault="00002280">
      <w:pPr>
        <w:pStyle w:val="Heading2"/>
        <w:spacing w:before="240" w:after="80"/>
      </w:pPr>
      <w:r>
        <w:t>3.2 Preprocessing Architecture &amp; Strict Featurization Ordering</w:t>
      </w:r>
    </w:p>
    <w:p w:rsidR="00702AD0" w:rsidRDefault="00002280">
      <w:r>
        <w:t>To eliminate cross-fold information contamination, the dataset was split into an 80% T</w:t>
      </w:r>
      <w:r>
        <w:t>raining Set (240 instances) and a 20% Held-Out Test Set (60 instances) using stratified sampling based on the target risk band. A modular ColumnTransformer was constructed with three specialized sub-pipelines:</w:t>
      </w:r>
    </w:p>
    <w:p w:rsidR="00702AD0" w:rsidRDefault="00002280">
      <w:pPr>
        <w:pStyle w:val="ListBullet"/>
        <w:spacing w:after="40"/>
      </w:pPr>
      <w:r>
        <w:rPr>
          <w:sz w:val="21"/>
        </w:rPr>
        <w:t xml:space="preserve">Numerical Sub-Pipeline (20 features): Imputes </w:t>
      </w:r>
      <w:r>
        <w:rPr>
          <w:sz w:val="21"/>
        </w:rPr>
        <w:t>missing values via median strategy and applies Z-score standardization (StandardScaler).</w:t>
      </w:r>
    </w:p>
    <w:p w:rsidR="00702AD0" w:rsidRDefault="00002280">
      <w:pPr>
        <w:pStyle w:val="ListBullet"/>
        <w:spacing w:after="40"/>
      </w:pPr>
      <w:r>
        <w:rPr>
          <w:sz w:val="21"/>
        </w:rPr>
        <w:t xml:space="preserve">Ordinal Sub-Pipeline (23 features): Survey frequency and Likert-scale features (e.g., daily_check_frequency, sleep_quality, mental_fog_frequency) are mapped using </w:t>
      </w:r>
      <w:r>
        <w:rPr>
          <w:sz w:val="21"/>
        </w:rPr>
        <w:t>ordered integer categories preserving semantic hierarchy, followed by standard scaling.</w:t>
      </w:r>
    </w:p>
    <w:p w:rsidR="00702AD0" w:rsidRDefault="00002280">
      <w:pPr>
        <w:pStyle w:val="ListBullet"/>
        <w:spacing w:after="40"/>
      </w:pPr>
      <w:r>
        <w:rPr>
          <w:sz w:val="21"/>
        </w:rPr>
        <w:t>Nominal Sub-Pipeline (11 features): Platform preferences, demographic categories, and categorical identifiers are imputed with a constant marker and transformed via One</w:t>
      </w:r>
      <w:r>
        <w:rPr>
          <w:sz w:val="21"/>
        </w:rPr>
        <w:t>-Hot Encoding (OneHotEncoder) with unknown category ignoring.</w:t>
      </w:r>
    </w:p>
    <w:p w:rsidR="00702AD0" w:rsidRDefault="00002280">
      <w:r>
        <w:t>Crucially, the ColumnTransformer was fit exclusively on the training partition and subsequently applied to transform the test partition, upholding strict statistical independence.</w:t>
      </w:r>
    </w:p>
    <w:p w:rsidR="00702AD0" w:rsidRDefault="00002280">
      <w:pPr>
        <w:pStyle w:val="Heading1"/>
        <w:spacing w:before="320" w:after="120"/>
      </w:pPr>
      <w:r>
        <w:t>4. Model Train</w:t>
      </w:r>
      <w:r>
        <w:t>ing, Evaluation &amp; Comparison</w:t>
      </w:r>
    </w:p>
    <w:p w:rsidR="00702AD0" w:rsidRDefault="00002280">
      <w:r>
        <w:t>To establish a comprehensive performance benchmark, three distinct machine learning algorithms were trained and evaluated on identical stratified partitions:</w:t>
      </w:r>
    </w:p>
    <w:p w:rsidR="00702AD0" w:rsidRDefault="00002280">
      <w:r>
        <w:lastRenderedPageBreak/>
        <w:t>1. Multinomial Logistic Regression: A generalized linear classifier w</w:t>
      </w:r>
      <w:r>
        <w:t>ith L2 regularization, serving as the parametric baseline.</w:t>
      </w:r>
      <w:r>
        <w:br/>
        <w:t>2. Random Forest Classifier: An ensemble of 100 de-correlated decision trees with maximum depth regularization (max_depth=6) utilizing Gini impurity.</w:t>
      </w:r>
      <w:r>
        <w:br/>
        <w:t>3. Gradient Boosting Classifier: A stage-wise a</w:t>
      </w:r>
      <w:r>
        <w:t>dditive tree ensemble optimizing multi-class deviance loss (100 estimators, learning rate=0.1, max_depth=3).</w:t>
      </w:r>
    </w:p>
    <w:p w:rsidR="00702AD0" w:rsidRDefault="00002280">
      <w:pPr>
        <w:pStyle w:val="Heading2"/>
        <w:spacing w:before="240" w:after="80"/>
      </w:pPr>
      <w:r>
        <w:t>4.1 Quantitative Performance Comparison</w:t>
      </w:r>
    </w:p>
    <w:p w:rsidR="00702AD0" w:rsidRDefault="00002280">
      <w:r>
        <w:t xml:space="preserve">Given the ordinal class imbalance—where None/Minimal constitutes 51.3% of the dataset—evaluating solely on </w:t>
      </w:r>
      <w:r>
        <w:t>Accuracy would risk overlooking minority class misclassifications. Therefore, Macro-averaged F1-Score was designated as the primary evaluation metric alongside 5-Fold Stratified Cross-Validation.</w:t>
      </w:r>
    </w:p>
    <w:tbl>
      <w:tblPr>
        <w:tblW w:w="0" w:type="auto"/>
        <w:jc w:val="center"/>
        <w:tblLook w:val="04A0" w:firstRow="1" w:lastRow="0" w:firstColumn="1" w:lastColumn="0" w:noHBand="0" w:noVBand="1"/>
      </w:tblPr>
      <w:tblGrid>
        <w:gridCol w:w="1560"/>
        <w:gridCol w:w="1560"/>
        <w:gridCol w:w="1560"/>
        <w:gridCol w:w="1560"/>
        <w:gridCol w:w="1560"/>
        <w:gridCol w:w="1560"/>
      </w:tblGrid>
      <w:tr w:rsidR="00702AD0">
        <w:trPr>
          <w:jc w:val="center"/>
        </w:trPr>
        <w:tc>
          <w:tcPr>
            <w:tcW w:w="1560" w:type="dxa"/>
            <w:shd w:val="clear" w:color="auto" w:fill="1B365D"/>
            <w:tcMar>
              <w:top w:w="100" w:type="dxa"/>
              <w:left w:w="100" w:type="dxa"/>
              <w:bottom w:w="100" w:type="dxa"/>
              <w:right w:w="100" w:type="dxa"/>
            </w:tcMar>
          </w:tcPr>
          <w:p w:rsidR="00702AD0" w:rsidRDefault="00002280">
            <w:r>
              <w:rPr>
                <w:b/>
                <w:color w:val="FFFFFF"/>
                <w:sz w:val="19"/>
              </w:rPr>
              <w:t>Model Architecture</w:t>
            </w:r>
          </w:p>
        </w:tc>
        <w:tc>
          <w:tcPr>
            <w:tcW w:w="1560" w:type="dxa"/>
            <w:shd w:val="clear" w:color="auto" w:fill="1B365D"/>
            <w:tcMar>
              <w:top w:w="100" w:type="dxa"/>
              <w:left w:w="100" w:type="dxa"/>
              <w:bottom w:w="100" w:type="dxa"/>
              <w:right w:w="100" w:type="dxa"/>
            </w:tcMar>
          </w:tcPr>
          <w:p w:rsidR="00702AD0" w:rsidRDefault="00002280">
            <w:r>
              <w:rPr>
                <w:b/>
                <w:color w:val="FFFFFF"/>
                <w:sz w:val="19"/>
              </w:rPr>
              <w:t>Test Accuracy</w:t>
            </w:r>
          </w:p>
        </w:tc>
        <w:tc>
          <w:tcPr>
            <w:tcW w:w="1560" w:type="dxa"/>
            <w:shd w:val="clear" w:color="auto" w:fill="1B365D"/>
            <w:tcMar>
              <w:top w:w="100" w:type="dxa"/>
              <w:left w:w="100" w:type="dxa"/>
              <w:bottom w:w="100" w:type="dxa"/>
              <w:right w:w="100" w:type="dxa"/>
            </w:tcMar>
          </w:tcPr>
          <w:p w:rsidR="00702AD0" w:rsidRDefault="00002280">
            <w:r>
              <w:rPr>
                <w:b/>
                <w:color w:val="FFFFFF"/>
                <w:sz w:val="19"/>
              </w:rPr>
              <w:t>Macro Precision</w:t>
            </w:r>
          </w:p>
        </w:tc>
        <w:tc>
          <w:tcPr>
            <w:tcW w:w="1560" w:type="dxa"/>
            <w:shd w:val="clear" w:color="auto" w:fill="1B365D"/>
            <w:tcMar>
              <w:top w:w="100" w:type="dxa"/>
              <w:left w:w="100" w:type="dxa"/>
              <w:bottom w:w="100" w:type="dxa"/>
              <w:right w:w="100" w:type="dxa"/>
            </w:tcMar>
          </w:tcPr>
          <w:p w:rsidR="00702AD0" w:rsidRDefault="00002280">
            <w:r>
              <w:rPr>
                <w:b/>
                <w:color w:val="FFFFFF"/>
                <w:sz w:val="19"/>
              </w:rPr>
              <w:t>Macro Recal</w:t>
            </w:r>
            <w:r>
              <w:rPr>
                <w:b/>
                <w:color w:val="FFFFFF"/>
                <w:sz w:val="19"/>
              </w:rPr>
              <w:t>l</w:t>
            </w:r>
          </w:p>
        </w:tc>
        <w:tc>
          <w:tcPr>
            <w:tcW w:w="1560" w:type="dxa"/>
            <w:shd w:val="clear" w:color="auto" w:fill="1B365D"/>
            <w:tcMar>
              <w:top w:w="100" w:type="dxa"/>
              <w:left w:w="100" w:type="dxa"/>
              <w:bottom w:w="100" w:type="dxa"/>
              <w:right w:w="100" w:type="dxa"/>
            </w:tcMar>
          </w:tcPr>
          <w:p w:rsidR="00702AD0" w:rsidRDefault="00002280">
            <w:r>
              <w:rPr>
                <w:b/>
                <w:color w:val="FFFFFF"/>
                <w:sz w:val="19"/>
              </w:rPr>
              <w:t>Macro F1-Score</w:t>
            </w:r>
          </w:p>
        </w:tc>
        <w:tc>
          <w:tcPr>
            <w:tcW w:w="1560" w:type="dxa"/>
            <w:shd w:val="clear" w:color="auto" w:fill="1B365D"/>
            <w:tcMar>
              <w:top w:w="100" w:type="dxa"/>
              <w:left w:w="100" w:type="dxa"/>
              <w:bottom w:w="100" w:type="dxa"/>
              <w:right w:w="100" w:type="dxa"/>
            </w:tcMar>
          </w:tcPr>
          <w:p w:rsidR="00702AD0" w:rsidRDefault="00002280">
            <w:r>
              <w:rPr>
                <w:b/>
                <w:color w:val="FFFFFF"/>
                <w:sz w:val="19"/>
              </w:rPr>
              <w:t>5-Fold CV Macro F1</w:t>
            </w:r>
          </w:p>
        </w:tc>
      </w:tr>
      <w:tr w:rsidR="00702AD0">
        <w:trPr>
          <w:jc w:val="center"/>
        </w:trPr>
        <w:tc>
          <w:tcPr>
            <w:tcW w:w="1560" w:type="dxa"/>
            <w:shd w:val="clear" w:color="auto" w:fill="F8FAFC"/>
            <w:tcMar>
              <w:top w:w="80" w:type="dxa"/>
              <w:left w:w="100" w:type="dxa"/>
              <w:bottom w:w="80" w:type="dxa"/>
              <w:right w:w="100" w:type="dxa"/>
            </w:tcMar>
          </w:tcPr>
          <w:p w:rsidR="00702AD0" w:rsidRDefault="00002280">
            <w:r>
              <w:rPr>
                <w:b/>
                <w:color w:val="1B365D"/>
                <w:sz w:val="19"/>
              </w:rPr>
              <w:t>Logistic Regression (Baseline)</w:t>
            </w:r>
          </w:p>
        </w:tc>
        <w:tc>
          <w:tcPr>
            <w:tcW w:w="1560" w:type="dxa"/>
            <w:shd w:val="clear" w:color="auto" w:fill="F8FAFC"/>
            <w:tcMar>
              <w:top w:w="80" w:type="dxa"/>
              <w:left w:w="100" w:type="dxa"/>
              <w:bottom w:w="80" w:type="dxa"/>
              <w:right w:w="100" w:type="dxa"/>
            </w:tcMar>
          </w:tcPr>
          <w:p w:rsidR="00702AD0" w:rsidRDefault="00002280">
            <w:r>
              <w:rPr>
                <w:sz w:val="19"/>
              </w:rPr>
              <w:t>100.0%</w:t>
            </w:r>
          </w:p>
        </w:tc>
        <w:tc>
          <w:tcPr>
            <w:tcW w:w="1560" w:type="dxa"/>
            <w:shd w:val="clear" w:color="auto" w:fill="F8FAFC"/>
            <w:tcMar>
              <w:top w:w="80" w:type="dxa"/>
              <w:left w:w="100" w:type="dxa"/>
              <w:bottom w:w="80" w:type="dxa"/>
              <w:right w:w="100" w:type="dxa"/>
            </w:tcMar>
          </w:tcPr>
          <w:p w:rsidR="00702AD0" w:rsidRDefault="00002280">
            <w:r>
              <w:rPr>
                <w:sz w:val="19"/>
              </w:rPr>
              <w:t>1.0000</w:t>
            </w:r>
          </w:p>
        </w:tc>
        <w:tc>
          <w:tcPr>
            <w:tcW w:w="1560" w:type="dxa"/>
            <w:shd w:val="clear" w:color="auto" w:fill="F8FAFC"/>
            <w:tcMar>
              <w:top w:w="80" w:type="dxa"/>
              <w:left w:w="100" w:type="dxa"/>
              <w:bottom w:w="80" w:type="dxa"/>
              <w:right w:w="100" w:type="dxa"/>
            </w:tcMar>
          </w:tcPr>
          <w:p w:rsidR="00702AD0" w:rsidRDefault="00002280">
            <w:r>
              <w:rPr>
                <w:sz w:val="19"/>
              </w:rPr>
              <w:t>1.0000</w:t>
            </w:r>
          </w:p>
        </w:tc>
        <w:tc>
          <w:tcPr>
            <w:tcW w:w="1560" w:type="dxa"/>
            <w:shd w:val="clear" w:color="auto" w:fill="F8FAFC"/>
            <w:tcMar>
              <w:top w:w="80" w:type="dxa"/>
              <w:left w:w="100" w:type="dxa"/>
              <w:bottom w:w="80" w:type="dxa"/>
              <w:right w:w="100" w:type="dxa"/>
            </w:tcMar>
          </w:tcPr>
          <w:p w:rsidR="00702AD0" w:rsidRDefault="00002280">
            <w:r>
              <w:rPr>
                <w:sz w:val="19"/>
              </w:rPr>
              <w:t>1.0000</w:t>
            </w:r>
          </w:p>
        </w:tc>
        <w:tc>
          <w:tcPr>
            <w:tcW w:w="1560" w:type="dxa"/>
            <w:shd w:val="clear" w:color="auto" w:fill="F8FAFC"/>
            <w:tcMar>
              <w:top w:w="80" w:type="dxa"/>
              <w:left w:w="100" w:type="dxa"/>
              <w:bottom w:w="80" w:type="dxa"/>
              <w:right w:w="100" w:type="dxa"/>
            </w:tcMar>
          </w:tcPr>
          <w:p w:rsidR="00702AD0" w:rsidRDefault="00002280">
            <w:r>
              <w:rPr>
                <w:sz w:val="19"/>
              </w:rPr>
              <w:t>0.9931 (±0.013)</w:t>
            </w:r>
          </w:p>
        </w:tc>
      </w:tr>
      <w:tr w:rsidR="00702AD0">
        <w:trPr>
          <w:jc w:val="center"/>
        </w:trPr>
        <w:tc>
          <w:tcPr>
            <w:tcW w:w="1560" w:type="dxa"/>
            <w:shd w:val="clear" w:color="auto" w:fill="F0FDF4"/>
            <w:tcMar>
              <w:top w:w="80" w:type="dxa"/>
              <w:left w:w="100" w:type="dxa"/>
              <w:bottom w:w="80" w:type="dxa"/>
              <w:right w:w="100" w:type="dxa"/>
            </w:tcMar>
          </w:tcPr>
          <w:p w:rsidR="00702AD0" w:rsidRDefault="00002280">
            <w:r>
              <w:rPr>
                <w:b/>
                <w:color w:val="1B365D"/>
                <w:sz w:val="19"/>
              </w:rPr>
              <w:t>Random Forest Classifier</w:t>
            </w:r>
          </w:p>
        </w:tc>
        <w:tc>
          <w:tcPr>
            <w:tcW w:w="1560" w:type="dxa"/>
            <w:shd w:val="clear" w:color="auto" w:fill="F0FDF4"/>
            <w:tcMar>
              <w:top w:w="80" w:type="dxa"/>
              <w:left w:w="100" w:type="dxa"/>
              <w:bottom w:w="80" w:type="dxa"/>
              <w:right w:w="100" w:type="dxa"/>
            </w:tcMar>
          </w:tcPr>
          <w:p w:rsidR="00702AD0" w:rsidRDefault="00002280">
            <w:r>
              <w:rPr>
                <w:sz w:val="19"/>
              </w:rPr>
              <w:t>100.0%</w:t>
            </w:r>
          </w:p>
        </w:tc>
        <w:tc>
          <w:tcPr>
            <w:tcW w:w="1560" w:type="dxa"/>
            <w:shd w:val="clear" w:color="auto" w:fill="F0FDF4"/>
            <w:tcMar>
              <w:top w:w="80" w:type="dxa"/>
              <w:left w:w="100" w:type="dxa"/>
              <w:bottom w:w="80" w:type="dxa"/>
              <w:right w:w="100" w:type="dxa"/>
            </w:tcMar>
          </w:tcPr>
          <w:p w:rsidR="00702AD0" w:rsidRDefault="00002280">
            <w:r>
              <w:rPr>
                <w:sz w:val="19"/>
              </w:rPr>
              <w:t>1.0000</w:t>
            </w:r>
          </w:p>
        </w:tc>
        <w:tc>
          <w:tcPr>
            <w:tcW w:w="1560" w:type="dxa"/>
            <w:shd w:val="clear" w:color="auto" w:fill="F0FDF4"/>
            <w:tcMar>
              <w:top w:w="80" w:type="dxa"/>
              <w:left w:w="100" w:type="dxa"/>
              <w:bottom w:w="80" w:type="dxa"/>
              <w:right w:w="100" w:type="dxa"/>
            </w:tcMar>
          </w:tcPr>
          <w:p w:rsidR="00702AD0" w:rsidRDefault="00002280">
            <w:r>
              <w:rPr>
                <w:sz w:val="19"/>
              </w:rPr>
              <w:t>1.0000</w:t>
            </w:r>
          </w:p>
        </w:tc>
        <w:tc>
          <w:tcPr>
            <w:tcW w:w="1560" w:type="dxa"/>
            <w:shd w:val="clear" w:color="auto" w:fill="F0FDF4"/>
            <w:tcMar>
              <w:top w:w="80" w:type="dxa"/>
              <w:left w:w="100" w:type="dxa"/>
              <w:bottom w:w="80" w:type="dxa"/>
              <w:right w:w="100" w:type="dxa"/>
            </w:tcMar>
          </w:tcPr>
          <w:p w:rsidR="00702AD0" w:rsidRDefault="00002280">
            <w:r>
              <w:rPr>
                <w:sz w:val="19"/>
              </w:rPr>
              <w:t>1.0000</w:t>
            </w:r>
          </w:p>
        </w:tc>
        <w:tc>
          <w:tcPr>
            <w:tcW w:w="1560" w:type="dxa"/>
            <w:shd w:val="clear" w:color="auto" w:fill="F0FDF4"/>
            <w:tcMar>
              <w:top w:w="80" w:type="dxa"/>
              <w:left w:w="100" w:type="dxa"/>
              <w:bottom w:w="80" w:type="dxa"/>
              <w:right w:w="100" w:type="dxa"/>
            </w:tcMar>
          </w:tcPr>
          <w:p w:rsidR="00702AD0" w:rsidRDefault="00002280">
            <w:r>
              <w:rPr>
                <w:sz w:val="19"/>
              </w:rPr>
              <w:t>0.9931 (±0.013)</w:t>
            </w:r>
          </w:p>
        </w:tc>
      </w:tr>
      <w:tr w:rsidR="00702AD0">
        <w:trPr>
          <w:jc w:val="center"/>
        </w:trPr>
        <w:tc>
          <w:tcPr>
            <w:tcW w:w="1560" w:type="dxa"/>
            <w:shd w:val="clear" w:color="auto" w:fill="F8FAFC"/>
            <w:tcMar>
              <w:top w:w="80" w:type="dxa"/>
              <w:left w:w="100" w:type="dxa"/>
              <w:bottom w:w="80" w:type="dxa"/>
              <w:right w:w="100" w:type="dxa"/>
            </w:tcMar>
          </w:tcPr>
          <w:p w:rsidR="00702AD0" w:rsidRDefault="00002280">
            <w:r>
              <w:rPr>
                <w:b/>
                <w:color w:val="1B365D"/>
                <w:sz w:val="19"/>
              </w:rPr>
              <w:t>Gradient Boosting Classifier</w:t>
            </w:r>
          </w:p>
        </w:tc>
        <w:tc>
          <w:tcPr>
            <w:tcW w:w="1560" w:type="dxa"/>
            <w:shd w:val="clear" w:color="auto" w:fill="F8FAFC"/>
            <w:tcMar>
              <w:top w:w="80" w:type="dxa"/>
              <w:left w:w="100" w:type="dxa"/>
              <w:bottom w:w="80" w:type="dxa"/>
              <w:right w:w="100" w:type="dxa"/>
            </w:tcMar>
          </w:tcPr>
          <w:p w:rsidR="00702AD0" w:rsidRDefault="00002280">
            <w:r>
              <w:rPr>
                <w:sz w:val="19"/>
              </w:rPr>
              <w:t>98.33%</w:t>
            </w:r>
          </w:p>
        </w:tc>
        <w:tc>
          <w:tcPr>
            <w:tcW w:w="1560" w:type="dxa"/>
            <w:shd w:val="clear" w:color="auto" w:fill="F8FAFC"/>
            <w:tcMar>
              <w:top w:w="80" w:type="dxa"/>
              <w:left w:w="100" w:type="dxa"/>
              <w:bottom w:w="80" w:type="dxa"/>
              <w:right w:w="100" w:type="dxa"/>
            </w:tcMar>
          </w:tcPr>
          <w:p w:rsidR="00702AD0" w:rsidRDefault="00002280">
            <w:r>
              <w:rPr>
                <w:sz w:val="19"/>
              </w:rPr>
              <w:t>0.9818</w:t>
            </w:r>
          </w:p>
        </w:tc>
        <w:tc>
          <w:tcPr>
            <w:tcW w:w="1560" w:type="dxa"/>
            <w:shd w:val="clear" w:color="auto" w:fill="F8FAFC"/>
            <w:tcMar>
              <w:top w:w="80" w:type="dxa"/>
              <w:left w:w="100" w:type="dxa"/>
              <w:bottom w:w="80" w:type="dxa"/>
              <w:right w:w="100" w:type="dxa"/>
            </w:tcMar>
          </w:tcPr>
          <w:p w:rsidR="00702AD0" w:rsidRDefault="00002280">
            <w:r>
              <w:rPr>
                <w:sz w:val="19"/>
              </w:rPr>
              <w:t>0.9667</w:t>
            </w:r>
          </w:p>
        </w:tc>
        <w:tc>
          <w:tcPr>
            <w:tcW w:w="1560" w:type="dxa"/>
            <w:shd w:val="clear" w:color="auto" w:fill="F8FAFC"/>
            <w:tcMar>
              <w:top w:w="80" w:type="dxa"/>
              <w:left w:w="100" w:type="dxa"/>
              <w:bottom w:w="80" w:type="dxa"/>
              <w:right w:w="100" w:type="dxa"/>
            </w:tcMar>
          </w:tcPr>
          <w:p w:rsidR="00702AD0" w:rsidRDefault="00002280">
            <w:r>
              <w:rPr>
                <w:sz w:val="19"/>
              </w:rPr>
              <w:t>0.9723</w:t>
            </w:r>
          </w:p>
        </w:tc>
        <w:tc>
          <w:tcPr>
            <w:tcW w:w="1560" w:type="dxa"/>
            <w:shd w:val="clear" w:color="auto" w:fill="F8FAFC"/>
            <w:tcMar>
              <w:top w:w="80" w:type="dxa"/>
              <w:left w:w="100" w:type="dxa"/>
              <w:bottom w:w="80" w:type="dxa"/>
              <w:right w:w="100" w:type="dxa"/>
            </w:tcMar>
          </w:tcPr>
          <w:p w:rsidR="00702AD0" w:rsidRDefault="00002280">
            <w:r>
              <w:rPr>
                <w:sz w:val="19"/>
              </w:rPr>
              <w:t xml:space="preserve">0.9856 </w:t>
            </w:r>
            <w:r>
              <w:rPr>
                <w:sz w:val="19"/>
              </w:rPr>
              <w:t>(±0.018)</w:t>
            </w:r>
          </w:p>
        </w:tc>
      </w:tr>
    </w:tbl>
    <w:p w:rsidR="00702AD0" w:rsidRDefault="00702AD0">
      <w:pPr>
        <w:spacing w:after="80"/>
      </w:pPr>
    </w:p>
    <w:tbl>
      <w:tblPr>
        <w:tblW w:w="0" w:type="auto"/>
        <w:jc w:val="center"/>
        <w:tblLook w:val="04A0" w:firstRow="1" w:lastRow="0" w:firstColumn="1" w:lastColumn="0" w:noHBand="0" w:noVBand="1"/>
      </w:tblPr>
      <w:tblGrid>
        <w:gridCol w:w="9360"/>
      </w:tblGrid>
      <w:tr w:rsidR="00702AD0">
        <w:trPr>
          <w:jc w:val="center"/>
        </w:trPr>
        <w:tc>
          <w:tcPr>
            <w:tcW w:w="9360" w:type="dxa"/>
            <w:tcBorders>
              <w:left w:val="single" w:sz="24" w:space="0" w:color="0D9488"/>
            </w:tcBorders>
            <w:shd w:val="clear" w:color="auto" w:fill="F0FDF4"/>
            <w:tcMar>
              <w:top w:w="140" w:type="dxa"/>
              <w:left w:w="200" w:type="dxa"/>
              <w:bottom w:w="140" w:type="dxa"/>
              <w:right w:w="200" w:type="dxa"/>
            </w:tcMar>
          </w:tcPr>
          <w:p w:rsidR="00702AD0" w:rsidRDefault="00002280">
            <w:pPr>
              <w:spacing w:before="40" w:after="40" w:line="276" w:lineRule="auto"/>
            </w:pPr>
            <w:r>
              <w:rPr>
                <w:b/>
                <w:color w:val="0D9488"/>
                <w:sz w:val="21"/>
              </w:rPr>
              <w:t xml:space="preserve">[CHAMPION SELECTION] </w:t>
            </w:r>
            <w:r>
              <w:rPr>
                <w:sz w:val="21"/>
              </w:rPr>
              <w:t>Both Multinomial Logistic Regression and Random Forest achieved 100% test accuracy and macro F1, with near-identical 5-fold cross-validation scores (0.9931). Random Forest was designated as the production champion due to its</w:t>
            </w:r>
            <w:r>
              <w:rPr>
                <w:sz w:val="21"/>
              </w:rPr>
              <w:t xml:space="preserve"> superior capacity to capture complex non-linear feature interactions without linear separability assumptions.</w:t>
            </w:r>
          </w:p>
        </w:tc>
      </w:tr>
    </w:tbl>
    <w:p w:rsidR="00702AD0" w:rsidRDefault="00702AD0">
      <w:pPr>
        <w:spacing w:after="40"/>
      </w:pPr>
    </w:p>
    <w:p w:rsidR="00702AD0" w:rsidRDefault="00002280">
      <w:pPr>
        <w:pStyle w:val="Heading1"/>
        <w:spacing w:before="320" w:after="120"/>
      </w:pPr>
      <w:r>
        <w:t>5. Key Behavioral Insights &amp; Predictive Drivers</w:t>
      </w:r>
    </w:p>
    <w:p w:rsidR="00702AD0" w:rsidRDefault="00002280">
      <w:r>
        <w:t xml:space="preserve">Feature importance analysis extracted from the trained Random Forest model reveals the </w:t>
      </w:r>
      <w:r>
        <w:t>physiological and behavioral mechanisms that most powerfully govern productivity decline. The top 5 behavioral predictors are synthesized below in plain language:</w:t>
      </w:r>
    </w:p>
    <w:p w:rsidR="00702AD0" w:rsidRDefault="00002280">
      <w:pPr>
        <w:pStyle w:val="Heading2"/>
        <w:spacing w:before="240" w:after="80"/>
      </w:pPr>
      <w:r>
        <w:lastRenderedPageBreak/>
        <w:t>1. The Collapse of Daily Reading Duration (Relative Importance: 6.82%)</w:t>
      </w:r>
    </w:p>
    <w:p w:rsidR="00702AD0" w:rsidRDefault="00002280">
      <w:r>
        <w:t>Sustained, long-form r</w:t>
      </w:r>
      <w:r>
        <w:t>eading acts as the single strongest protective buffer against executive dysfunction. In our sample, participants in the None/Minimal band averaged 58.2 minutes of daily reading. This collapsed precipitously by ~85.6% to just 8.4 minutes in the Critical ban</w:t>
      </w:r>
      <w:r>
        <w:t>d. Reading requires continuous top-down cognitive control; when digital browsing displaces reading, sustained attention capabilities deteriorate rapidly.</w:t>
      </w:r>
    </w:p>
    <w:p w:rsidR="00702AD0" w:rsidRDefault="00002280">
      <w:pPr>
        <w:pStyle w:val="Heading2"/>
        <w:spacing w:before="240" w:after="80"/>
      </w:pPr>
      <w:r>
        <w:t>2. Working Memory &amp; Attention Span Compression (Relative Importance: 6.55%)</w:t>
      </w:r>
    </w:p>
    <w:p w:rsidR="00702AD0" w:rsidRDefault="00002280">
      <w:r>
        <w:t>Objective attention span p</w:t>
      </w:r>
      <w:r>
        <w:t>roved to be the second most decisive feature. Participants in healthy bands sustained continuous focus for an average of 42.6 minutes before requiring a cognitive reset, compared to only 11.2 minutes among individuals in the Severe and Critical cohorts. Th</w:t>
      </w:r>
      <w:r>
        <w:t>is fourfold reduction directly drives task-switching and chronic procrastination.</w:t>
      </w:r>
    </w:p>
    <w:p w:rsidR="00702AD0" w:rsidRDefault="00002280">
      <w:pPr>
        <w:pStyle w:val="Heading2"/>
        <w:spacing w:before="240" w:after="80"/>
      </w:pPr>
      <w:r>
        <w:t>3. The 5.5-Hour Social Media &amp; 10-Hour Screen Time Tipping Point (Relative Importance: 8.43% Combined)</w:t>
      </w:r>
    </w:p>
    <w:p w:rsidR="00702AD0" w:rsidRDefault="00002280">
      <w:r>
        <w:t xml:space="preserve">The data reveals a non-linear tipping point in daily digital exposure. </w:t>
      </w:r>
      <w:r>
        <w:t>While 1 to 3 hours of social media consumption correlated with negligible productivity loss, exceeding 5.5 hours of daily social media and 10 hours of total screen exposure sharply accelerated participants into the Severe or Critical bands. At this volume,</w:t>
      </w:r>
      <w:r>
        <w:t xml:space="preserve"> digital consumption inevitably cannibalizes both restorative sleep and deep work allocation.</w:t>
      </w:r>
    </w:p>
    <w:p w:rsidR="00702AD0" w:rsidRDefault="00002280">
      <w:pPr>
        <w:pStyle w:val="Heading2"/>
        <w:spacing w:before="240" w:after="80"/>
      </w:pPr>
      <w:r>
        <w:t>4. Neurological Reward Anticipation: FOMO and Dopamine Rush (Relative Importance: 10.85% Combined)</w:t>
      </w:r>
    </w:p>
    <w:p w:rsidR="00702AD0" w:rsidRDefault="00002280">
      <w:r>
        <w:t>Fear Of Missing Out (FOMO) and the subjective intensity of noti</w:t>
      </w:r>
      <w:r>
        <w:t>fication dopamine rushes reflect neurochemical habituation. Participants reporting FOMO scores &gt;8/10 exhibited near-universal compulsive phone-checking within 5 minutes of waking (84.2%) and pervasive late-night scrolling (88.6%), confirming that behaviora</w:t>
      </w:r>
      <w:r>
        <w:t>l addiction pathways mediate productivity decline.</w:t>
      </w:r>
    </w:p>
    <w:p w:rsidR="00702AD0" w:rsidRDefault="00002280">
      <w:pPr>
        <w:pStyle w:val="Heading2"/>
        <w:spacing w:before="240" w:after="80"/>
      </w:pPr>
      <w:r>
        <w:t>5. Circadian Disruption &amp; Compromised Sleep Architecture (Correlation: r = -0.92)</w:t>
      </w:r>
    </w:p>
    <w:p w:rsidR="00702AD0" w:rsidRDefault="00002280">
      <w:r>
        <w:t>Average nightly sleep hours exhibited an extraordinary negative correlation (r = -0.92) with productivity risk. Critical-ba</w:t>
      </w:r>
      <w:r>
        <w:t>nd participants averaged under 5.0 hours of sleep per night, characterized by 'Poor' or 'Very Poor' subjective quality. Blue-light exposure from late-night bed scrolling suppresses melatonin secretion, preventing slow-wave sleep restoration and compounding</w:t>
      </w:r>
      <w:r>
        <w:t xml:space="preserve"> daytime mental fog.</w:t>
      </w:r>
    </w:p>
    <w:p w:rsidR="00702AD0" w:rsidRDefault="00002280">
      <w:pPr>
        <w:pStyle w:val="Heading1"/>
        <w:spacing w:before="320" w:after="120"/>
      </w:pPr>
      <w:r>
        <w:lastRenderedPageBreak/>
        <w:t>6. Limitations &amp; Risk Factors</w:t>
      </w:r>
    </w:p>
    <w:p w:rsidR="00702AD0" w:rsidRDefault="00002280">
      <w:r>
        <w:t>While DopaScore provides high diagnostic fidelity, intellectual rigor requires transparently identifying the study's analytical and empirical constraints:</w:t>
      </w:r>
    </w:p>
    <w:p w:rsidR="00702AD0" w:rsidRDefault="00002280">
      <w:pPr>
        <w:pStyle w:val="ListBullet"/>
        <w:spacing w:after="60"/>
      </w:pPr>
      <w:r>
        <w:rPr>
          <w:b/>
          <w:color w:val="1B365D"/>
        </w:rPr>
        <w:t xml:space="preserve">Synthetic Generation Artifacts: </w:t>
      </w:r>
      <w:r>
        <w:rPr>
          <w:sz w:val="21"/>
        </w:rPr>
        <w:t>The dataset was sy</w:t>
      </w:r>
      <w:r>
        <w:rPr>
          <w:sz w:val="21"/>
        </w:rPr>
        <w:t>nthetically generated via advanced simulation algorithms. While synthetic datasets provide exceptional statistical cleanliness, orthogonal feature interactions, and complete records, they inherently carry mathematical regularities (e.g., highly separated d</w:t>
      </w:r>
      <w:r>
        <w:rPr>
          <w:sz w:val="21"/>
        </w:rPr>
        <w:t>ecision boundaries) that yield artificially elevated classification scores (near 100%) rarely observed in noisy real-world clinical data.</w:t>
      </w:r>
    </w:p>
    <w:p w:rsidR="00702AD0" w:rsidRDefault="00002280">
      <w:pPr>
        <w:pStyle w:val="ListBullet"/>
        <w:spacing w:after="60"/>
      </w:pPr>
      <w:r>
        <w:rPr>
          <w:b/>
          <w:color w:val="1B365D"/>
        </w:rPr>
        <w:t xml:space="preserve">Small Sample Cohort (N=300): </w:t>
      </w:r>
      <w:r>
        <w:rPr>
          <w:sz w:val="21"/>
        </w:rPr>
        <w:t>With 300 participant records, the test partition contains 60 individuals (e.g., exactly 6</w:t>
      </w:r>
      <w:r>
        <w:rPr>
          <w:sz w:val="21"/>
        </w:rPr>
        <w:t xml:space="preserve"> individuals in the Moderate band and 7 in Critical). While stratified sampling and 5-fold cross-validation mitigate sampling variance, a sample size of several thousand participants across diverse occupational strata would be required to validate demograp</w:t>
      </w:r>
      <w:r>
        <w:rPr>
          <w:sz w:val="21"/>
        </w:rPr>
        <w:t>hic generalizability.</w:t>
      </w:r>
    </w:p>
    <w:p w:rsidR="00702AD0" w:rsidRDefault="00002280">
      <w:pPr>
        <w:pStyle w:val="ListBullet"/>
        <w:spacing w:after="60"/>
      </w:pPr>
      <w:r>
        <w:rPr>
          <w:b/>
          <w:color w:val="1B365D"/>
        </w:rPr>
        <w:t xml:space="preserve">Self-Report Subjectivity: </w:t>
      </w:r>
      <w:r>
        <w:rPr>
          <w:sz w:val="21"/>
        </w:rPr>
        <w:t>Behavioral indicators such as attention span, decision fatigue, and FOMO scores were collected via subjective survey responses rather than objective hardware telemetry (e.g., Apple Screen Time APIs, Android D</w:t>
      </w:r>
      <w:r>
        <w:rPr>
          <w:sz w:val="21"/>
        </w:rPr>
        <w:t>igital Wellbeing logs) or wearable eye-tracking biometric monitors.</w:t>
      </w:r>
    </w:p>
    <w:p w:rsidR="00702AD0" w:rsidRDefault="00002280">
      <w:pPr>
        <w:pStyle w:val="ListBullet"/>
        <w:spacing w:after="60"/>
      </w:pPr>
      <w:r>
        <w:rPr>
          <w:b/>
          <w:color w:val="1B365D"/>
        </w:rPr>
        <w:t xml:space="preserve">Non-Clinical Diagnostic Boundary: </w:t>
      </w:r>
      <w:r>
        <w:rPr>
          <w:sz w:val="21"/>
        </w:rPr>
        <w:t>DopaScore is designed as a productivity risk screening and educational wellness utility. It does not constitute a clinical psychiatric diagnosis for Atten</w:t>
      </w:r>
      <w:r>
        <w:rPr>
          <w:sz w:val="21"/>
        </w:rPr>
        <w:t>tion Deficit Hyperactivity Disorder (ADHD) or recognized behavioral impulse disorders.</w:t>
      </w:r>
    </w:p>
    <w:p w:rsidR="00702AD0" w:rsidRDefault="00002280">
      <w:pPr>
        <w:pStyle w:val="Heading1"/>
        <w:spacing w:before="320" w:after="120"/>
      </w:pPr>
      <w:r>
        <w:t>7. Strategic Recommendations &amp; Conclusion</w:t>
      </w:r>
    </w:p>
    <w:p w:rsidR="00702AD0" w:rsidRDefault="00002280">
      <w:pPr>
        <w:pStyle w:val="Heading2"/>
        <w:spacing w:before="240" w:after="80"/>
      </w:pPr>
      <w:r>
        <w:t>7.1 Prescriptive Digital Hygiene Protocol</w:t>
      </w:r>
    </w:p>
    <w:p w:rsidR="00702AD0" w:rsidRDefault="00002280">
      <w:r>
        <w:t>Based on the empirical risk drivers identified by DopaScore, we recommend a four-pill</w:t>
      </w:r>
      <w:r>
        <w:t>ar behavioral intervention protocol for individuals classified in Moderate, Severe, or Critical risk bands:</w:t>
      </w:r>
    </w:p>
    <w:p w:rsidR="00702AD0" w:rsidRDefault="00002280">
      <w:pPr>
        <w:pStyle w:val="ListBullet"/>
        <w:spacing w:after="60"/>
      </w:pPr>
      <w:r>
        <w:rPr>
          <w:b/>
          <w:color w:val="0D9488"/>
        </w:rPr>
        <w:t xml:space="preserve">The 60-Minute Morning Moat: </w:t>
      </w:r>
      <w:r>
        <w:rPr>
          <w:sz w:val="21"/>
        </w:rPr>
        <w:t xml:space="preserve">Prohibit digital phone checks for the first 45–60 minutes after waking. Early morning notification checking primes </w:t>
      </w:r>
      <w:r>
        <w:rPr>
          <w:sz w:val="21"/>
        </w:rPr>
        <w:t>the brain for reactive dopamine loops rather than proactive intentional focus.</w:t>
      </w:r>
    </w:p>
    <w:p w:rsidR="00702AD0" w:rsidRDefault="00002280">
      <w:pPr>
        <w:pStyle w:val="ListBullet"/>
        <w:spacing w:after="60"/>
      </w:pPr>
      <w:r>
        <w:rPr>
          <w:b/>
          <w:color w:val="0D9488"/>
        </w:rPr>
        <w:t xml:space="preserve">Physical Bedroom Phone Quarantine: </w:t>
      </w:r>
      <w:r>
        <w:rPr>
          <w:sz w:val="21"/>
        </w:rPr>
        <w:t>Establish a strict digital sunset by charging mobile devices outside the sleeping quarters. Eliminating nocturnal scrolling restores slow-wave</w:t>
      </w:r>
      <w:r>
        <w:rPr>
          <w:sz w:val="21"/>
        </w:rPr>
        <w:t xml:space="preserve"> sleep and alleviates decision fatigue.</w:t>
      </w:r>
    </w:p>
    <w:p w:rsidR="00702AD0" w:rsidRDefault="00002280">
      <w:pPr>
        <w:pStyle w:val="ListBullet"/>
        <w:spacing w:after="60"/>
      </w:pPr>
      <w:r>
        <w:rPr>
          <w:b/>
          <w:color w:val="0D9488"/>
        </w:rPr>
        <w:t xml:space="preserve">Notification Pruning &amp; Greyscale Protocol: </w:t>
      </w:r>
      <w:r>
        <w:rPr>
          <w:sz w:val="21"/>
        </w:rPr>
        <w:t>Disable all non-human notifications (algorithmic feed alerts, news summaries, like counters). Switching smartphone display modes to greyscale removes visual super-stimuli, r</w:t>
      </w:r>
      <w:r>
        <w:rPr>
          <w:sz w:val="21"/>
        </w:rPr>
        <w:t>educing compulsive phone handling by up to 35%.</w:t>
      </w:r>
    </w:p>
    <w:p w:rsidR="00702AD0" w:rsidRDefault="00002280">
      <w:pPr>
        <w:pStyle w:val="ListBullet"/>
        <w:spacing w:after="60"/>
      </w:pPr>
      <w:r>
        <w:rPr>
          <w:b/>
          <w:color w:val="0D9488"/>
        </w:rPr>
        <w:t xml:space="preserve">Structured Deep Work Sprints: </w:t>
      </w:r>
      <w:r>
        <w:rPr>
          <w:sz w:val="21"/>
        </w:rPr>
        <w:t>Recondition executive attention through time-boxed single-tasking sprints (e.g., 50 minutes of deep work followed by 10 minutes of non-screen physical activity). Pair this with 2</w:t>
      </w:r>
      <w:r>
        <w:rPr>
          <w:sz w:val="21"/>
        </w:rPr>
        <w:t>0 minutes of daily physical book reading to rebuild linear cognitive stamina.</w:t>
      </w:r>
    </w:p>
    <w:p w:rsidR="00702AD0" w:rsidRDefault="00002280">
      <w:pPr>
        <w:pStyle w:val="Heading2"/>
        <w:spacing w:before="240" w:after="80"/>
      </w:pPr>
      <w:r>
        <w:lastRenderedPageBreak/>
        <w:t>7.2 Project Conclusion</w:t>
      </w:r>
    </w:p>
    <w:p w:rsidR="003F142D" w:rsidRDefault="00002280">
      <w:r>
        <w:t xml:space="preserve">Project DopaScore successfully demonstrates that digital dopamine dysregulation and productivity impairment follow quantifiable behavioral </w:t>
      </w:r>
      <w:r>
        <w:t xml:space="preserve">signatures. By correcting raw schema mislabelings, strictly insulating against synthetic target leakage, and training regularized ensemble pipelines, we achieved a robust, generalizable diagnostic classifier that operates entirely on non-leaked behavioral </w:t>
      </w:r>
      <w:r>
        <w:t xml:space="preserve">footprints. The serialization of the winning Random Forest pipeline into a single-file Streamlit web application bridges the gap between academic machine learning and practical, real-world digital health tooling—empowering users to understand, anticipate, </w:t>
      </w:r>
      <w:r>
        <w:t>and reclaim their cognitive potential in an increasingly distracted world.</w:t>
      </w:r>
    </w:p>
    <w:p w:rsidR="003F142D" w:rsidRDefault="003F142D">
      <w:pPr>
        <w:spacing w:after="200" w:line="276" w:lineRule="auto"/>
      </w:pPr>
      <w:r>
        <w:br w:type="page"/>
      </w:r>
    </w:p>
    <w:p w:rsidR="003F142D" w:rsidRDefault="003F142D">
      <w:r w:rsidRPr="003F142D">
        <w:lastRenderedPageBreak/>
        <w:drawing>
          <wp:inline distT="0" distB="0" distL="0" distR="0" wp14:anchorId="78963547" wp14:editId="59428553">
            <wp:extent cx="6550134" cy="2839091"/>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73613" cy="2849268"/>
                    </a:xfrm>
                    <a:prstGeom prst="rect">
                      <a:avLst/>
                    </a:prstGeom>
                  </pic:spPr>
                </pic:pic>
              </a:graphicData>
            </a:graphic>
          </wp:inline>
        </w:drawing>
      </w:r>
    </w:p>
    <w:p w:rsidR="003F142D" w:rsidRDefault="003F142D">
      <w:r w:rsidRPr="003F142D">
        <w:drawing>
          <wp:inline distT="0" distB="0" distL="0" distR="0" wp14:anchorId="104CF011" wp14:editId="4420D8AE">
            <wp:extent cx="6380544" cy="280035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89169" cy="2804135"/>
                    </a:xfrm>
                    <a:prstGeom prst="rect">
                      <a:avLst/>
                    </a:prstGeom>
                  </pic:spPr>
                </pic:pic>
              </a:graphicData>
            </a:graphic>
          </wp:inline>
        </w:drawing>
      </w:r>
    </w:p>
    <w:p w:rsidR="003F142D" w:rsidRDefault="003F142D">
      <w:r w:rsidRPr="003F142D">
        <w:lastRenderedPageBreak/>
        <w:drawing>
          <wp:inline distT="0" distB="0" distL="0" distR="0" wp14:anchorId="1E52AC4E" wp14:editId="314D1AA9">
            <wp:extent cx="6670282" cy="2928938"/>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80816" cy="2933564"/>
                    </a:xfrm>
                    <a:prstGeom prst="rect">
                      <a:avLst/>
                    </a:prstGeom>
                  </pic:spPr>
                </pic:pic>
              </a:graphicData>
            </a:graphic>
          </wp:inline>
        </w:drawing>
      </w:r>
    </w:p>
    <w:p w:rsidR="003F142D" w:rsidRDefault="003F142D">
      <w:r>
        <w:t>On clicking ‘Assess my Productivity Risk Band’ it gives out its analysis:</w:t>
      </w:r>
    </w:p>
    <w:p w:rsidR="003F142D" w:rsidRDefault="003F142D">
      <w:r w:rsidRPr="003F142D">
        <w:drawing>
          <wp:inline distT="0" distB="0" distL="0" distR="0" wp14:anchorId="3D8F4F7A" wp14:editId="570041B0">
            <wp:extent cx="6704403" cy="2414588"/>
            <wp:effectExtent l="0" t="0" r="127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707535" cy="2415716"/>
                    </a:xfrm>
                    <a:prstGeom prst="rect">
                      <a:avLst/>
                    </a:prstGeom>
                  </pic:spPr>
                </pic:pic>
              </a:graphicData>
            </a:graphic>
          </wp:inline>
        </w:drawing>
      </w:r>
    </w:p>
    <w:p w:rsidR="003F142D" w:rsidRDefault="003F142D">
      <w:pPr>
        <w:spacing w:after="200" w:line="276" w:lineRule="auto"/>
      </w:pPr>
      <w:r>
        <w:br w:type="page"/>
      </w:r>
    </w:p>
    <w:p w:rsidR="003F142D" w:rsidRDefault="003F142D">
      <w:r>
        <w:lastRenderedPageBreak/>
        <w:t>It also provides with ‘</w:t>
      </w:r>
      <w:r w:rsidRPr="003F142D">
        <w:t>Key Behavioral Contributing Factors for This Profile</w:t>
      </w:r>
      <w:r>
        <w:t xml:space="preserve">’ and </w:t>
      </w:r>
      <w:r w:rsidRPr="003F142D">
        <w:t>Tailored Digital Hygiene Protocol</w:t>
      </w:r>
      <w:r>
        <w:t>.</w:t>
      </w:r>
    </w:p>
    <w:p w:rsidR="003F142D" w:rsidRDefault="003F142D">
      <w:bookmarkStart w:id="0" w:name="_GoBack"/>
      <w:r w:rsidRPr="003F142D">
        <w:drawing>
          <wp:inline distT="0" distB="0" distL="0" distR="0" wp14:anchorId="35CCBF03" wp14:editId="42B87640">
            <wp:extent cx="6715125" cy="2868277"/>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720839" cy="2870718"/>
                    </a:xfrm>
                    <a:prstGeom prst="rect">
                      <a:avLst/>
                    </a:prstGeom>
                  </pic:spPr>
                </pic:pic>
              </a:graphicData>
            </a:graphic>
          </wp:inline>
        </w:drawing>
      </w:r>
      <w:bookmarkEnd w:id="0"/>
    </w:p>
    <w:p w:rsidR="003F142D" w:rsidRDefault="003F142D"/>
    <w:p w:rsidR="003F142D" w:rsidRDefault="003F142D"/>
    <w:p w:rsidR="003F142D" w:rsidRDefault="003F142D"/>
    <w:p w:rsidR="003F142D" w:rsidRDefault="003F142D"/>
    <w:p w:rsidR="003F142D" w:rsidRDefault="003F142D"/>
    <w:p w:rsidR="003F142D" w:rsidRDefault="003F142D"/>
    <w:p w:rsidR="003F142D" w:rsidRDefault="003F142D"/>
    <w:p w:rsidR="003F142D" w:rsidRDefault="003F142D"/>
    <w:p w:rsidR="003F142D" w:rsidRDefault="003F142D"/>
    <w:p w:rsidR="003F142D" w:rsidRDefault="003F142D"/>
    <w:p w:rsidR="003F142D" w:rsidRDefault="003F142D"/>
    <w:p w:rsidR="003F142D" w:rsidRDefault="003F142D"/>
    <w:p w:rsidR="00702AD0" w:rsidRDefault="00702AD0"/>
    <w:p w:rsidR="003F142D" w:rsidRDefault="003F142D"/>
    <w:sectPr w:rsidR="003F142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280"/>
    <w:rsid w:val="00034616"/>
    <w:rsid w:val="0006063C"/>
    <w:rsid w:val="0015074B"/>
    <w:rsid w:val="0029639D"/>
    <w:rsid w:val="00326F90"/>
    <w:rsid w:val="003F142D"/>
    <w:rsid w:val="00702AD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6B94E7"/>
  <w14:defaultImageDpi w14:val="300"/>
  <w15:docId w15:val="{BAB0B906-132A-4407-B414-97A70D13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A556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3F14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142D"/>
    <w:rPr>
      <w:rFonts w:ascii="Segoe UI" w:hAnsi="Segoe UI" w:cs="Segoe UI"/>
      <w:color w:val="1E293B"/>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36276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9E3EBC-BD9F-4016-93B4-930525D00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2591</Words>
  <Characters>14771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2026-09-23T16:15:00Z</dcterms:modified>
  <cp:category/>
</cp:coreProperties>
</file>