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24.png" ContentType="image/jpeg"/>
  <Override PartName="/word/media/image2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1 Title of the invention</w:t>
      </w:r>
    </w:p>
    <w:p>
      <w:pPr>
        <w:pStyle w:val="Title"/>
        <w:keepNext w:val="0"/>
        <w:widowControl/>
        <w:spacing w:after="120" w:before="0" w:line="259" w:lineRule="auto"/>
      </w:pPr>
      <w:r>
        <w:rPr>
          <w:rFonts w:ascii="Times New Roman" w:hAnsi="Times New Roman"/>
          <w:b/>
          <w:color w:val="000000"/>
          <w:sz w:val="26"/>
        </w:rPr>
        <w:t>System and Method for Generation Safe Motion Guided Visual Key Value Memory Residency and Semantic Correction</w:t>
      </w:r>
    </w:p>
    <w:p>
      <w:pPr>
        <w:pStyle w:val="BodyText"/>
        <w:keepNext w:val="0"/>
        <w:widowControl/>
        <w:spacing w:after="120" w:before="0" w:line="259" w:lineRule="auto"/>
        <w:ind w:left="0" w:right="0" w:firstLine="0"/>
      </w:pPr>
      <w:r>
        <w:rPr>
          <w:rFonts w:ascii="Times New Roman" w:hAnsi="Times New Roman"/>
          <w:b w:val="0"/>
          <w:color w:val="000000"/>
          <w:sz w:val="22"/>
        </w:rPr>
        <w:t>Project name: MTR-KV</w:t>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2 Field and area of invention</w:t>
      </w:r>
    </w:p>
    <w:p>
      <w:pPr>
        <w:pStyle w:val="BodyText"/>
        <w:keepNext w:val="0"/>
        <w:widowControl/>
        <w:spacing w:after="120" w:before="0" w:line="259" w:lineRule="auto"/>
        <w:ind w:left="0" w:right="0" w:firstLine="0"/>
      </w:pPr>
      <w:r>
        <w:rPr>
          <w:rFonts w:ascii="Times New Roman" w:hAnsi="Times New Roman"/>
          <w:b w:val="0"/>
          <w:color w:val="000000"/>
          <w:sz w:val="22"/>
        </w:rPr>
        <w:t>Computer architecture and systems software; compressed-video processing; visual transformer inference; paged key-value memory; tensor representation management; and versioned runtime control. The invention concerns a processor-based arrangement that translates decoder motion evidence into visual-page residency intent and corrects that intent using later model attention through the same controller.</w:t>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3 Prior patents and publications from literature</w:t>
      </w:r>
    </w:p>
    <w:p>
      <w:pPr>
        <w:pStyle w:val="BodyText"/>
        <w:keepNext w:val="0"/>
        <w:widowControl/>
        <w:spacing w:after="120" w:before="0" w:line="259" w:lineRule="auto"/>
        <w:ind w:left="0" w:right="0" w:firstLine="0"/>
      </w:pPr>
      <w:r>
        <w:rPr>
          <w:rFonts w:ascii="Times New Roman" w:hAnsi="Times New Roman"/>
          <w:b w:val="0"/>
          <w:color w:val="000000"/>
          <w:sz w:val="22"/>
        </w:rPr>
        <w:t>The following references identify existing approaches and the technical distinctions proposed for MTR-KV. The focused review was performed on 21 October 2026. It identifies relevant overlap and candidates for examination; it does not establish novelty or freedom to operate. Full source links and publication details appear before Section 10.</w:t>
      </w:r>
    </w:p>
    <w:p>
      <w:pPr>
        <w:pStyle w:val="BodyText"/>
        <w:keepNext/>
        <w:widowControl/>
        <w:spacing w:after="120" w:before="120" w:line="259" w:lineRule="auto"/>
        <w:ind w:left="0" w:right="0" w:firstLine="0"/>
      </w:pPr>
      <w:r>
        <w:rPr>
          <w:rFonts w:ascii="Times New Roman" w:hAnsi="Times New Roman"/>
          <w:b/>
          <w:color w:val="000000"/>
          <w:sz w:val="22"/>
        </w:rPr>
        <w:t>Prior patent publications</w:t>
      </w:r>
    </w:p>
    <w:tbl>
      <w:tblPr>
        <w:tblW w:type="auto" w:w="0"/>
        <w:tblLayout w:type="fixed"/>
        <w:tblLook w:firstColumn="1" w:firstRow="1" w:lastColumn="0" w:lastRow="0" w:noHBand="0" w:noVBand="1" w:val="04A0"/>
      </w:tblPr>
      <w:tblGrid>
        <w:gridCol w:w="2499"/>
        <w:gridCol w:w="3862"/>
        <w:gridCol w:w="3862"/>
      </w:tblGrid>
      <w:tr>
        <w:trPr>
          <w:cantSplit/>
          <w:tblHeader/>
        </w:trPr>
        <w:tc>
          <w:tcPr>
            <w:tcW w:type="dxa" w:w="249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Published patent text</w:t>
            </w:r>
          </w:p>
        </w:tc>
        <w:tc>
          <w:tcPr>
            <w:tcW w:type="dxa" w:w="386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Disclosed territory reviewed</w:t>
            </w:r>
          </w:p>
        </w:tc>
        <w:tc>
          <w:tcPr>
            <w:tcW w:type="dxa" w:w="386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Technical distinction to examine</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R7 US6072548A</w:t>
              <w:br/>
              <w:t>Published 6 Jun 2000</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Dynamic decoder memory allocation for variable decoded-image size.</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Decoder-originated memory allocation is old. Our target is transformer visual K/V rather than decoded-picture buffers.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R8 US20100098165A1 / US8300697B2</w:t>
              <w:br/>
              <w:t>Published application 22 Apr 2010</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Recursive motion-vector analysis of regions related to decoder memory fetching.</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Thresholded regional motion analysis is old. Tiling, hierarchy, or thresholds alone are not novelty anchors.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R9 US20250124105A1</w:t>
              <w:br/>
              <w:t>17 Apr 2025</w:t>
              <w:br/>
              <w:t>Claim 1 and description</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Binary token vectors are bucketed; representative tokens supply representative cached K/V.</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The prototype does not replace token groups with a representative token. It retains page identity and changes representation/residency.</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R10 US20250225134A1</w:t>
              <w:br/>
              <w:t>10 Jul 2025</w:t>
              <w:br/>
              <w:t>Claim 1 and description</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Inference requests reserve contiguous virtual cache space and generate pointers by layer/block.</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Reservation and pointer management are established. Compare source metadata, version checks, readiness, and correction relationships.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R11 US20260080217A1</w:t>
              <w:br/>
              <w:t>19 Mar 2026</w:t>
              <w:br/>
              <w:t>Claims 1 to 4 and description</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Gauge transformations canonicalize attention weights; embodiments split hot-window and cold-tail KV and compress cold data.</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This prototype uses unchanged model weights, fp16/int8/raw-byte compression, and motion/semantic page intent. Generic hot/cold KV compression is not claimed as new.</w:t>
            </w:r>
          </w:p>
        </w:tc>
      </w:tr>
    </w:tbl>
    <w:p>
      <w:pPr>
        <w:spacing w:after="20"/>
      </w:pP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Prior research publications</w:t>
      </w:r>
    </w:p>
    <w:tbl>
      <w:tblPr>
        <w:tblW w:type="auto" w:w="0"/>
        <w:tblLayout w:type="fixed"/>
        <w:tblLook w:firstColumn="1" w:firstRow="1" w:lastColumn="0" w:lastRow="0" w:noHBand="0" w:noVBand="1" w:val="04A0"/>
      </w:tblPr>
      <w:tblGrid>
        <w:gridCol w:w="2348"/>
        <w:gridCol w:w="3862"/>
        <w:gridCol w:w="4014"/>
      </w:tblGrid>
      <w:tr>
        <w:trPr>
          <w:cantSplit/>
          <w:tblHeader/>
        </w:trPr>
        <w:tc>
          <w:tcPr>
            <w:tcW w:type="dxa" w:w="234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Reference and public date</w:t>
            </w:r>
          </w:p>
        </w:tc>
        <w:tc>
          <w:tcPr>
            <w:tcW w:type="dxa" w:w="386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Previously disclosed mechanism</w:t>
            </w:r>
          </w:p>
        </w:tc>
        <w:tc>
          <w:tcPr>
            <w:tcW w:type="dxa" w:w="401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Relationship to this disclosure</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R1 PagedAttention / vLLM</w:t>
              <w:br/>
              <w:t>12 Sep 2023</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Non-contiguous paged KV memory, block sharing, and copy-on-write.</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Paging and logical-to-physical blocks are established. The candidate here adds a codec-originated page-intent and correction protocol.</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R2 CodecSight v4</w:t>
              <w:br/>
              <w:t>First 7 Apr 2026</w:t>
              <w:br/>
              <w:t>Revised 15 Sep 2026</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Codec-guided patch pruning, GOP/frame-type refresh, and position-corrected KV reuse across VLM windows.</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Closest identified research lead. Broad codec-guided KV reuse is already disclosed. Compare the precise residency transaction and model-feedback correction contract.</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R3 CoPE-VideoLM v2</w:t>
              <w:br/>
              <w:t>First 13 Feb 2026</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Motion vectors and residuals encoded into compact video-language representations.</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Codec evidence as model input is established. Here that evidence controls residency descriptors; no codec encoder training is implemented.</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R4 RESUME v1</w:t>
              <w:br/>
              <w:t>30 Sep 2026</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An I-frame initializes a latent state; predictive-frame codec observations update it and produce VideoLM readouts.</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Carried codec-derived state is related, but is not the tensor-store mechanism implemented here. Its filing-date relevance remains for counsel.</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R5 H2O v3</w:t>
              <w:br/>
              <w:t>First 24 Jun 2023</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Attention-heavy and recent tokens guide KV retention.</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Attention-based importance is established; it must not be asserted as new by itself.</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R6 SnapKV v2</w:t>
              <w:br/>
              <w:t>First 22 Apr 2024</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An observation window selects clustered important KV positions per attention head.</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Model-derived cache compression is established. Our software corrects a separate early codec tier proposal through the same versioned controller.</w:t>
            </w:r>
          </w:p>
        </w:tc>
      </w:tr>
    </w:tbl>
    <w:p>
      <w:pPr>
        <w:spacing w:after="20"/>
      </w:pPr>
    </w:p>
    <w:p>
      <w:pPr>
        <w:pStyle w:val="BodyText"/>
        <w:keepNext/>
        <w:widowControl/>
        <w:spacing w:after="120" w:before="120" w:line="259" w:lineRule="auto"/>
        <w:ind w:left="0" w:right="0" w:firstLine="0"/>
      </w:pPr>
      <w:r>
        <w:rPr>
          <w:rFonts w:ascii="Times New Roman" w:hAnsi="Times New Roman"/>
          <w:b/>
          <w:color w:val="000000"/>
          <w:sz w:val="22"/>
        </w:rPr>
        <w:t>Search coverage and remaining work</w:t>
      </w:r>
    </w:p>
    <w:p>
      <w:pPr>
        <w:pStyle w:val="BodyText"/>
        <w:keepNext w:val="0"/>
        <w:widowControl/>
        <w:spacing w:after="120" w:before="0" w:line="259" w:lineRule="auto"/>
        <w:ind w:left="0" w:right="0" w:firstLine="0"/>
      </w:pPr>
      <w:r>
        <w:rPr>
          <w:rFonts w:ascii="Times New Roman" w:hAnsi="Times New Roman"/>
          <w:b w:val="0"/>
          <w:color w:val="000000"/>
          <w:sz w:val="22"/>
        </w:rPr>
        <w:t>The reviewed methods include codec-guided visual-token selection and KV reuse, paging, attention-guided retention, decoder memory and transformer cache management. CodecSight is the closest identified codec-guided reuse lead. The distinctions concern the exact residency transaction, generation checks and model-feedback correction relationship. A claim-by-claim family search, citation expansion and combination analysis remain necessary; an omission from a summary does not establish absence from a reference.</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4 Summary and background of the invention</w:t>
      </w:r>
    </w:p>
    <w:p>
      <w:pPr>
        <w:pStyle w:val="BodyText"/>
        <w:keepNext w:val="0"/>
        <w:widowControl/>
        <w:spacing w:after="120" w:before="0" w:line="259" w:lineRule="auto"/>
        <w:ind w:left="0" w:right="0" w:firstLine="0"/>
      </w:pPr>
      <w:r>
        <w:rPr>
          <w:rFonts w:ascii="Times New Roman" w:hAnsi="Times New Roman"/>
          <w:b w:val="0"/>
          <w:color w:val="000000"/>
          <w:sz w:val="22"/>
        </w:rPr>
        <w:t>Video transformers repeatedly create and retain key/value tensors for visual tokens. Compressed video exposes spatial change before the model has produced semantic attention. Using that early signal can reduce fast-tier pressure, but low motion is not the same as low importance: a stationary object, text region, or scene cue may still matter to the task. A second problem is consistency. A delayed descriptor or correction must not install stale data after a newer frame has taken ownership of a page.</w:t>
      </w:r>
    </w:p>
    <w:p>
      <w:pPr>
        <w:pStyle w:val="BodyText"/>
        <w:keepNext w:val="0"/>
        <w:widowControl/>
        <w:spacing w:after="120" w:before="0" w:line="259" w:lineRule="auto"/>
        <w:ind w:left="0" w:right="0" w:firstLine="0"/>
      </w:pPr>
      <w:r>
        <w:rPr>
          <w:rFonts w:ascii="Times New Roman" w:hAnsi="Times New Roman"/>
          <w:b w:val="0"/>
          <w:color w:val="000000"/>
          <w:sz w:val="22"/>
        </w:rPr>
        <w:t>MTR-KV separates early evidence from later verification. A decoder adapter produces source-coordinate blocks, motion magnitude, confidence, and frame type. MTRE reconciles those blocks with the model preprocessing and token/page layout. A temporal engine and scene guard qualify the proposal. MKAD records the stream, generation, page span, operation, and target tier. KMC validates and commits a complete mapping before issuing readiness. Actual tensor representations are then consumed by attention.</w:t>
      </w:r>
    </w:p>
    <w:p>
      <w:pPr>
        <w:pStyle w:val="BodyText"/>
        <w:keepNext w:val="0"/>
        <w:widowControl/>
        <w:spacing w:after="120" w:before="0" w:line="259" w:lineRule="auto"/>
        <w:ind w:left="0" w:right="0" w:firstLine="0"/>
      </w:pPr>
      <w:r>
        <w:rPr>
          <w:rFonts w:ascii="Times New Roman" w:hAnsi="Times New Roman"/>
          <w:b w:val="0"/>
          <w:color w:val="000000"/>
          <w:sz w:val="22"/>
        </w:rPr>
        <w:t>After model execution, class-token attention is aggregated into page scores. SRCE identifies disagreement, particularly low codec activity with high model importance, and sends a generation-matched correction through the same descriptor/controller path. The software never bypasses generation checks for a semantic rescue. Missing metadata takes a conservative branch instead of being treated as a zero-motion observation.</w:t>
      </w:r>
    </w:p>
    <w:p>
      <w:pPr>
        <w:pStyle w:val="BodyText"/>
        <w:keepNext/>
        <w:widowControl/>
        <w:spacing w:after="120" w:before="120" w:line="259" w:lineRule="auto"/>
        <w:ind w:left="0" w:right="0" w:firstLine="0"/>
      </w:pPr>
      <w:r>
        <w:rPr>
          <w:rFonts w:ascii="Times New Roman" w:hAnsi="Times New Roman"/>
          <w:b/>
          <w:color w:val="000000"/>
          <w:sz w:val="22"/>
        </w:rPr>
        <w:t>Candidate distinguishing technical contribution</w:t>
      </w:r>
    </w:p>
    <w:p>
      <w:pPr>
        <w:pStyle w:val="BodyText"/>
        <w:keepNext w:val="0"/>
        <w:widowControl/>
        <w:spacing w:after="120" w:before="0" w:line="259" w:lineRule="auto"/>
        <w:ind w:left="0" w:right="0" w:firstLine="0"/>
      </w:pPr>
      <w:r>
        <w:rPr>
          <w:rFonts w:ascii="Times New Roman" w:hAnsi="Times New Roman"/>
          <w:b w:val="0"/>
          <w:color w:val="000000"/>
          <w:sz w:val="22"/>
        </w:rPr>
        <w:t>The proposed contribution is the coordinated control relationship: source-space codec evidence becomes page-specific tier intent before attention; a versioned reserve/prepare/commit/ready sequence gates use; and later model-derived importance corrects that intent through the same controller while stale generations are rejected. The reuse extension requires both codec/temporal eligibility and exact final-block page-input equality, and binds retained content to the new generation only after readiness.</w:t>
      </w:r>
    </w:p>
    <w:p>
      <w:pPr>
        <w:pStyle w:val="BodyText"/>
        <w:keepNext w:val="0"/>
        <w:widowControl/>
        <w:spacing w:after="120" w:before="0" w:line="259" w:lineRule="auto"/>
        <w:ind w:left="0" w:right="0" w:firstLine="0"/>
      </w:pPr>
      <w:r>
        <w:rPr>
          <w:rFonts w:ascii="Times New Roman" w:hAnsi="Times New Roman"/>
          <w:b w:val="0"/>
          <w:color w:val="000000"/>
          <w:sz w:val="22"/>
        </w:rPr>
        <w:t>This combination is the candidate for examination, not a conclusion that no earlier system implements it. R2 already establishes codec-guided VLM cache refresh, while R1 and R5-R11 cover adjacent memory and importance mechanisms. The claimable distinction, if any, must lie in concrete relationships and enabling details rather than the names MTRE, MKAD, KMC, or SRCE.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4.1 Technical relationship proposed for examination</w:t>
      </w:r>
    </w:p>
    <w:p>
      <w:pPr>
        <w:pStyle w:val="BodyText"/>
        <w:keepNext w:val="0"/>
        <w:widowControl/>
        <w:spacing w:after="120" w:before="0" w:line="259" w:lineRule="auto"/>
        <w:ind w:left="0" w:right="0" w:firstLine="0"/>
      </w:pPr>
      <w:r>
        <w:rPr>
          <w:rFonts w:ascii="Times New Roman" w:hAnsi="Times New Roman"/>
          <w:b w:val="0"/>
          <w:color w:val="000000"/>
          <w:sz w:val="22"/>
        </w:rPr>
        <w:t>The matrix separates an implemented local mechanism from the strongest known overlap. “Compare” identifies a concrete issue to investigate; it does not mean an earlier reference lacks the feature.</w:t>
      </w:r>
    </w:p>
    <w:tbl>
      <w:tblPr>
        <w:tblW w:type="auto" w:w="0"/>
        <w:tblLayout w:type="fixed"/>
        <w:tblLook w:firstColumn="1" w:firstRow="1" w:lastColumn="0" w:lastRow="0" w:noHBand="0" w:noVBand="1" w:val="04A0"/>
      </w:tblPr>
      <w:tblGrid>
        <w:gridCol w:w="3181"/>
        <w:gridCol w:w="3332"/>
        <w:gridCol w:w="3711"/>
      </w:tblGrid>
      <w:tr>
        <w:trPr>
          <w:cantSplit/>
          <w:tblHeader/>
        </w:trPr>
        <w:tc>
          <w:tcPr>
            <w:tcW w:type="dxa" w:w="318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Element in MTR-KV</w:t>
            </w:r>
          </w:p>
        </w:tc>
        <w:tc>
          <w:tcPr>
            <w:tcW w:type="dxa" w:w="333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Relevant overlap</w:t>
            </w:r>
          </w:p>
        </w:tc>
        <w:tc>
          <w:tcPr>
            <w:tcW w:type="dxa" w:w="371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Candidate relationship to examine</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Actual inverse preprocessing maps codec blocks to token pages.</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R2 maps patch selection through model layout; R3 uses codec primitives.</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Preserve source/crop/page identity through generation-tagged residency descriptors, including partial blocks and missing metadata.</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Motion and temporal state propose T0/T1/T2 intent before attention.</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Codec-guided decisions in R2; hot/cold KV in R11.</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Tie a codec-derived spatial proposal to a page-tier operation rather than visual pruning or solely recency-based placement.</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Reserve, prepare, commit, then ready; reject stale descriptors.</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Paging/reservation in R1 and R10; general versioned transactions are established systems techniques.</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Define the exact generation/range/operation checks, atomic publication model, failure preservation, and completion contract for this pipeline.</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Model importance rescues a quiet page through the same KMC.</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Importance-driven retention in R5/R6; R2 also offers residual-based rescue.</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Use later model attention, not codec residual alone, to correct the earlier residency intent without bypassing the consistency path.</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Static-page reuse also checks exact model input, owner, age, and versions.</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R2 uses GOP/frame identity and position correction for approximate VLM reuse.</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The narrow final-block implementation avoids reuse solely on motion assumptions and explicitly rebinds retained content after new-generation readiness.</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Conservative invalidation and auditable trace.</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Fallback, validation, and tracing are established engineering practices.</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Specify their interaction with the proposed controller arrangement; do not claim these practices individually.</w:t>
            </w:r>
          </w:p>
        </w:tc>
      </w:tr>
    </w:tbl>
    <w:p>
      <w:pPr>
        <w:spacing w:after="20"/>
      </w:pP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5 Objectives of invention</w:t>
      </w:r>
    </w:p>
    <w:p>
      <w:pPr>
        <w:pStyle w:val="BodyText"/>
        <w:keepNext w:val="0"/>
        <w:widowControl/>
        <w:spacing w:after="120" w:before="0" w:line="259" w:lineRule="auto"/>
        <w:ind w:left="0" w:right="0" w:firstLine="0"/>
      </w:pPr>
      <w:r>
        <w:rPr>
          <w:rFonts w:ascii="Times New Roman" w:hAnsi="Times New Roman"/>
          <w:b w:val="0"/>
          <w:color w:val="000000"/>
          <w:sz w:val="22"/>
        </w:rPr>
        <w:t>Use early compressed-video evidence to propose visual-page residency before the relevant model attention computation.</w:t>
      </w:r>
    </w:p>
    <w:p>
      <w:pPr>
        <w:pStyle w:val="BodyText"/>
        <w:keepNext w:val="0"/>
        <w:widowControl/>
        <w:spacing w:after="120" w:before="0" w:line="259" w:lineRule="auto"/>
        <w:ind w:left="0" w:right="0" w:firstLine="0"/>
      </w:pPr>
      <w:r>
        <w:rPr>
          <w:rFonts w:ascii="Times New Roman" w:hAnsi="Times New Roman"/>
          <w:b w:val="0"/>
          <w:color w:val="000000"/>
          <w:sz w:val="22"/>
        </w:rPr>
        <w:t>Reconcile actual source pixels, preprocessing crop/resize, patch tokens, and logical page spans without assuming codec blocks and patches align.</w:t>
      </w:r>
    </w:p>
    <w:p>
      <w:pPr>
        <w:pStyle w:val="BodyText"/>
        <w:keepNext w:val="0"/>
        <w:widowControl/>
        <w:spacing w:after="120" w:before="0" w:line="259" w:lineRule="auto"/>
        <w:ind w:left="0" w:right="0" w:firstLine="0"/>
      </w:pPr>
      <w:r>
        <w:rPr>
          <w:rFonts w:ascii="Times New Roman" w:hAnsi="Times New Roman"/>
          <w:b w:val="0"/>
          <w:color w:val="000000"/>
          <w:sz w:val="22"/>
        </w:rPr>
        <w:t>Preserve generation consistency during allocation, replacement, semantic correction, and cross-frame payload reuse.</w:t>
      </w:r>
    </w:p>
    <w:p>
      <w:pPr>
        <w:pStyle w:val="BodyText"/>
        <w:keepNext w:val="0"/>
        <w:widowControl/>
        <w:spacing w:after="120" w:before="0" w:line="259" w:lineRule="auto"/>
        <w:ind w:left="0" w:right="0" w:firstLine="0"/>
      </w:pPr>
      <w:r>
        <w:rPr>
          <w:rFonts w:ascii="Times New Roman" w:hAnsi="Times New Roman"/>
          <w:b w:val="0"/>
          <w:color w:val="000000"/>
          <w:sz w:val="22"/>
        </w:rPr>
        <w:t>Retain conservative behavior when evidence is missing, uncertain, or transitioning; avoid treating absence of metadata as proof of static content.</w:t>
      </w:r>
    </w:p>
    <w:p>
      <w:pPr>
        <w:pStyle w:val="BodyText"/>
        <w:keepNext w:val="0"/>
        <w:widowControl/>
        <w:spacing w:after="120" w:before="0" w:line="259" w:lineRule="auto"/>
        <w:ind w:left="0" w:right="0" w:firstLine="0"/>
      </w:pPr>
      <w:r>
        <w:rPr>
          <w:rFonts w:ascii="Times New Roman" w:hAnsi="Times New Roman"/>
          <w:b w:val="0"/>
          <w:color w:val="000000"/>
          <w:sz w:val="22"/>
        </w:rPr>
        <w:t>Recover important low-motion pages using later model-derived scores through the normal controller transaction.</w:t>
      </w:r>
    </w:p>
    <w:p>
      <w:pPr>
        <w:pStyle w:val="BodyText"/>
        <w:keepNext w:val="0"/>
        <w:widowControl/>
        <w:spacing w:after="120" w:before="0" w:line="259" w:lineRule="auto"/>
        <w:ind w:left="0" w:right="0" w:firstLine="0"/>
      </w:pPr>
      <w:r>
        <w:rPr>
          <w:rFonts w:ascii="Times New Roman" w:hAnsi="Times New Roman"/>
          <w:b w:val="0"/>
          <w:color w:val="000000"/>
          <w:sz w:val="22"/>
        </w:rPr>
        <w:t>Measure real tensor payloads and actual execution, distinguish them from simulator capacity estimates, and expose reproducible evidence.</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6 Working principle of the invention in brief</w:t>
      </w:r>
    </w:p>
    <w:p>
      <w:pPr>
        <w:pStyle w:val="BodyText"/>
        <w:keepNext w:val="0"/>
        <w:widowControl/>
        <w:spacing w:after="120" w:before="0" w:line="259" w:lineRule="auto"/>
        <w:ind w:left="0" w:right="0" w:firstLine="0"/>
      </w:pPr>
      <w:r>
        <w:rPr>
          <w:rFonts w:ascii="Times New Roman" w:hAnsi="Times New Roman"/>
          <w:b w:val="0"/>
          <w:color w:val="000000"/>
          <w:sz w:val="22"/>
        </w:rPr>
        <w:t>Decode a frame and extract motion-vector side data. Normalize it, map source regions to the actual model token grid, and aggregate activity by logical page. Update temporal and transition state. Construct one or more generation-tagged MKADs, validate them, reserve replacement space, prepare the complete shadow mapping, and publish it before emitting a ready token.</w:t>
      </w:r>
    </w:p>
    <w:p>
      <w:pPr>
        <w:pStyle w:val="BodyText"/>
        <w:keepNext w:val="0"/>
        <w:widowControl/>
        <w:spacing w:after="120" w:before="0" w:line="259" w:lineRule="auto"/>
        <w:ind w:left="0" w:right="0" w:firstLine="0"/>
      </w:pPr>
      <w:r>
        <w:rPr>
          <w:rFonts w:ascii="Times New Roman" w:hAnsi="Times New Roman"/>
          <w:b w:val="0"/>
          <w:color w:val="000000"/>
          <w:sz w:val="22"/>
        </w:rPr>
        <w:t>The model can then attach or reuse K/V for the current ready generation. A reuse candidate must also pass exact feature, owner, parameter, and age checks. Prefix tokens and queries are computed normally. Attention reads every patch page through the tier store. After attention, SRCE compares page importance with early motion evidence and requests safe corrections through KMC. The next frame carries temporal state forward; old-generation updates remain stale.</w:t>
      </w:r>
    </w:p>
    <w:p>
      <w:pPr>
        <w:pStyle w:val="BodyText"/>
        <w:keepNext w:val="0"/>
        <w:widowControl/>
        <w:spacing w:after="120" w:before="0" w:line="259" w:lineRule="auto"/>
        <w:ind w:left="0" w:right="0" w:firstLine="0"/>
      </w:pPr>
      <w:r>
        <w:rPr>
          <w:rFonts w:ascii="Times New Roman" w:hAnsi="Times New Roman"/>
          <w:b w:val="0"/>
          <w:color w:val="000000"/>
          <w:sz w:val="22"/>
        </w:rPr>
        <w:t>The live implementation is sequential around the Python controller and model. The event simulator separately models asynchronous ordering and adversarial delays. Physical overlap between a media engine and GPU/RTL controller is a proposed embodiment, not a measured property of the Python run.</w:t>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7 Description of the invention in detail</w:t>
      </w:r>
    </w:p>
    <w:p>
      <w:pPr>
        <w:pStyle w:val="BodyText"/>
        <w:keepNext/>
        <w:widowControl/>
        <w:spacing w:after="120" w:before="120" w:line="259" w:lineRule="auto"/>
        <w:ind w:left="0" w:right="0" w:firstLine="0"/>
      </w:pPr>
      <w:r>
        <w:rPr>
          <w:rFonts w:ascii="Times New Roman" w:hAnsi="Times New Roman"/>
          <w:b/>
          <w:color w:val="000000"/>
          <w:sz w:val="22"/>
        </w:rPr>
        <w:t>7.1 System arrangement and component contracts</w:t>
      </w:r>
    </w:p>
    <w:p>
      <w:pPr>
        <w:pStyle w:val="BodyText"/>
        <w:keepNext w:val="0"/>
        <w:widowControl/>
        <w:spacing w:after="120" w:before="0" w:line="259" w:lineRule="auto"/>
        <w:ind w:left="0" w:right="0" w:firstLine="0"/>
      </w:pPr>
      <w:r>
        <w:rPr>
          <w:rFonts w:ascii="Times New Roman" w:hAnsi="Times New Roman"/>
          <w:b w:val="0"/>
          <w:color w:val="000000"/>
          <w:sz w:val="22"/>
        </w:rPr>
        <w:t>The decoder adapter supplies blocks, vector scale, source dimensions, presentation timestamp, and frame type. MotionNormalizer creates canonical MotionBlock records. MTRE produces token and page activity; temporal and scene logic govern conservative residency. MkadBuilder groups compatible adjacent page ranges into MKADs. KMC owns the authoritative logical mapping and readiness state.</w:t>
      </w:r>
    </w:p>
    <w:p>
      <w:pPr>
        <w:pStyle w:val="BodyText"/>
        <w:keepNext w:val="0"/>
        <w:widowControl/>
        <w:spacing w:after="120" w:before="0" w:line="259" w:lineRule="auto"/>
        <w:ind w:left="0" w:right="0" w:firstLine="0"/>
      </w:pPr>
      <w:r>
        <w:rPr>
          <w:rFonts w:ascii="Times New Roman" w:hAnsi="Times New Roman"/>
          <w:b w:val="0"/>
          <w:color w:val="000000"/>
          <w:sz w:val="22"/>
        </w:rPr>
        <w:t>TorchKVStore holds actual model tensors associated with the committed page generation. ViTAttentionFeedback replaces only the last attention block in the model-backed path. SRCE produces corrections from later class-token attention. JSONL records and the dashboard expose measurements but do not participate in the allocation decision.</w:t>
      </w:r>
    </w:p>
    <w:p>
      <w:pPr>
        <w:pStyle w:val="BodyText"/>
        <w:keepNext w:val="0"/>
        <w:widowControl/>
        <w:spacing w:after="120" w:before="0" w:line="259" w:lineRule="auto"/>
        <w:ind w:left="0" w:right="0" w:firstLine="0"/>
      </w:pPr>
      <w:r>
        <w:rPr>
          <w:rFonts w:ascii="Times New Roman" w:hAnsi="Times New Roman"/>
          <w:b w:val="0"/>
          <w:color w:val="000000"/>
          <w:sz w:val="22"/>
        </w:rPr>
        <w:t>The live controller processes one stream per instance. The simulator also includes a multistream workload. The phone adapter has one exclusive capture session per server; it decodes continuously and retains the latest frame when model work is slower than capture.</w:t>
      </w:r>
    </w:p>
    <w:tbl>
      <w:tblPr>
        <w:tblW w:type="auto" w:w="0"/>
        <w:tblLayout w:type="fixed"/>
        <w:tblLook w:firstColumn="1" w:firstRow="1" w:lastColumn="0" w:lastRow="0" w:noHBand="0" w:noVBand="1" w:val="04A0"/>
      </w:tblPr>
      <w:tblGrid>
        <w:gridCol w:w="1728"/>
        <w:gridCol w:w="8496"/>
      </w:tblGrid>
      <w:tr>
        <w:trPr>
          <w:cantSplit/>
          <w:tblHeader/>
        </w:trPr>
        <w:tc>
          <w:tcPr>
            <w:tcW w:type="dxa" w:w="172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Component</w:t>
            </w:r>
          </w:p>
        </w:tc>
        <w:tc>
          <w:tcPr>
            <w:tcW w:type="dxa" w:w="849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Executable role</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MTRE</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Motion-to-Token Reconciliation Engine maps source regions to patch tokens and pages.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MKAD</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Motion-Keyed Allocation Descriptor carries stream, generation, page span and operation.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KMC</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KV Memory Controller behavioral model owns mappings and readiness.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SRCE</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Semantic Residency Correction Engine sends model-derived correction through KMC.</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TorchKVStore</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Stores actual fp16, int8 or compressed fp16 K/V associated with page generations.</w:t>
            </w:r>
          </w:p>
        </w:tc>
      </w:tr>
    </w:tbl>
    <w:p>
      <w:pPr>
        <w:spacing w:after="20"/>
      </w:pP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1 Implemented software architecture</w:t>
      </w:r>
    </w:p>
    <w:p>
      <w:pPr>
        <w:spacing w:after="100"/>
        <w:jc w:val="center"/>
      </w:pPr>
      <w:r>
        <w:drawing>
          <wp:inline>
            <wp:extent cx="6400800" cy="3307080"/>
            <wp:docPr id="3" name="Picture 3"/>
            <wp:cNvGraphicFramePr>
              <a:graphicFrameLocks noChangeAspect="1"/>
            </wp:cNvGraphicFramePr>
            <a:graphic>
              <a:graphicData uri="http://schemas.openxmlformats.org/drawingml/2006/picture">
                <pic:pic>
                  <pic:nvPicPr>
                    <pic:cNvPr id="0" name="architecture.png"/>
                    <pic:cNvPicPr/>
                  </pic:nvPicPr>
                  <pic:blipFill>
                    <a:blip r:embed="rId34"/>
                    <a:stretch>
                      <a:fillRect/>
                    </a:stretch>
                  </pic:blipFill>
                  <pic:spPr>
                    <a:xfrm>
                      <a:off x="0" y="0"/>
                      <a:ext cx="6400800" cy="330708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Encoded video produces source-space evidence; MTRE reconciles geometry, temporal state qualifies tier intent, and KMC commits readiness before the model consumes stored K/V. Later attention returns as a same-generation correction through KMC. The dotted GPU/RTL and full VLM extension is proposed.</w:t>
      </w:r>
    </w:p>
    <w:p>
      <w:pPr>
        <w:pStyle w:val="BodyText"/>
        <w:keepNext/>
        <w:widowControl/>
        <w:spacing w:after="120" w:before="120" w:line="259" w:lineRule="auto"/>
        <w:ind w:left="0" w:right="0" w:firstLine="0"/>
      </w:pPr>
      <w:r>
        <w:rPr>
          <w:rFonts w:ascii="Times New Roman" w:hAnsi="Times New Roman"/>
          <w:b/>
          <w:color w:val="000000"/>
          <w:sz w:val="22"/>
        </w:rPr>
        <w:t>7.2 Execution order and consistency boundary</w:t>
      </w:r>
    </w:p>
    <w:p>
      <w:pPr>
        <w:pStyle w:val="BodyText"/>
        <w:keepNext w:val="0"/>
        <w:widowControl/>
        <w:spacing w:after="120" w:before="0" w:line="259" w:lineRule="auto"/>
        <w:ind w:left="0" w:right="0" w:firstLine="0"/>
      </w:pPr>
      <w:r>
        <w:rPr>
          <w:rFonts w:ascii="Times New Roman" w:hAnsi="Times New Roman"/>
          <w:b w:val="0"/>
          <w:color w:val="000000"/>
          <w:sz w:val="22"/>
        </w:rPr>
        <w:t>The live Python embodiment executes decoder, controller and model work sequentially. Its separate event simulator tests asynchronous ordering and adversarial delays. Logical readiness and a Python fence counter represent the consistency contract; they do not demonstrate a physical GPU fence, asynchronous hardware FIFO or media/GPU overlap.</w:t>
      </w:r>
    </w:p>
    <w:p>
      <w:pPr>
        <w:pStyle w:val="BodyText"/>
        <w:keepNext w:val="0"/>
        <w:widowControl/>
        <w:spacing w:after="120" w:before="0" w:line="259" w:lineRule="auto"/>
        <w:ind w:left="0" w:right="0" w:firstLine="0"/>
      </w:pPr>
      <w:r>
        <w:rPr>
          <w:rFonts w:ascii="Times New Roman" w:hAnsi="Times New Roman"/>
          <w:b w:val="0"/>
          <w:color w:val="000000"/>
          <w:sz w:val="22"/>
        </w:rPr>
        <w:t>A current ready mapping is required before attachment, reuse or read. Semantic correction arrives after that frame has executed; it can change residency safely but cannot avoid the inference pass that produced the score. This timing is part of the implemented control loop.</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7.3 Source geometry and page reconciliation</w:t>
      </w:r>
    </w:p>
    <w:p>
      <w:pPr>
        <w:pStyle w:val="BodyText"/>
        <w:keepNext/>
        <w:widowControl/>
        <w:spacing w:after="120" w:before="120" w:line="259" w:lineRule="auto"/>
        <w:ind w:left="0" w:right="0" w:firstLine="0"/>
      </w:pPr>
      <w:r>
        <w:rPr>
          <w:rFonts w:ascii="Times New Roman" w:hAnsi="Times New Roman"/>
          <w:b/>
          <w:color w:val="000000"/>
          <w:sz w:val="22"/>
        </w:rPr>
        <w:t>Figure 2 Actual model crop and visual page geometry</w:t>
      </w:r>
    </w:p>
    <w:p>
      <w:pPr>
        <w:spacing w:after="100"/>
        <w:jc w:val="center"/>
      </w:pPr>
      <w:r>
        <w:drawing>
          <wp:inline>
            <wp:extent cx="6400800" cy="3253740"/>
            <wp:docPr id="4" name="Picture 4"/>
            <wp:cNvGraphicFramePr>
              <a:graphicFrameLocks noChangeAspect="1"/>
            </wp:cNvGraphicFramePr>
            <a:graphic>
              <a:graphicData uri="http://schemas.openxmlformats.org/drawingml/2006/picture">
                <pic:pic>
                  <pic:nvPicPr>
                    <pic:cNvPr id="0" name="geometry-measured.png"/>
                    <pic:cNvPicPr/>
                  </pic:nvPicPr>
                  <pic:blipFill>
                    <a:blip r:embed="rId35"/>
                    <a:stretch>
                      <a:fillRect/>
                    </a:stretch>
                  </pic:blipFill>
                  <pic:spPr>
                    <a:xfrm>
                      <a:off x="0" y="0"/>
                      <a:ext cx="6400800" cy="325374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The measured ViT transform resizes the 640 by 360 source to 440 by 248, then center-crops 224 by 224 at offset 108 by 12. The inverse source crop is recorded in every trace. Colors illustrate logical pages, which can cross image rows.</w:t>
      </w:r>
    </w:p>
    <w:p>
      <w:pPr>
        <w:pStyle w:val="BodyText"/>
        <w:keepNext w:val="0"/>
        <w:widowControl/>
        <w:spacing w:after="120" w:before="0" w:line="259" w:lineRule="auto"/>
        <w:ind w:left="0" w:right="0" w:firstLine="0"/>
      </w:pPr>
      <w:r>
        <w:rPr>
          <w:rFonts w:ascii="Times New Roman" w:hAnsi="Times New Roman"/>
          <w:b w:val="0"/>
          <w:color w:val="000000"/>
          <w:sz w:val="20"/>
        </w:rPr>
        <w:t>Source: full-demo-serial.jsonl source_crop; runtime ViTAttentionFeedback transform Resize 248 and CenterCrop 224.</w:t>
      </w:r>
    </w:p>
    <w:p>
      <w:pPr>
        <w:pStyle w:val="BodyText"/>
        <w:keepNext w:val="0"/>
        <w:widowControl/>
        <w:spacing w:after="120" w:before="0" w:line="259" w:lineRule="auto"/>
        <w:ind w:left="0" w:right="0" w:firstLine="0"/>
      </w:pPr>
      <w:r>
        <w:rPr>
          <w:rFonts w:ascii="Times New Roman" w:hAnsi="Times New Roman"/>
          <w:b w:val="0"/>
          <w:color w:val="000000"/>
          <w:sz w:val="22"/>
        </w:rPr>
        <w:t>Let a model patch occupy rectangle T in source coordinates after inverting preprocessing. For codec block B, overlap weight is area(B intersect T) divided by area(T). Token evidence is accumulated with these weights. Mixed active/static overlap is treated conservatively: a high-change component can dominate the plain mean. Confidence remains an independent guard.</w:t>
      </w:r>
    </w:p>
    <w:p>
      <w:pPr>
        <w:pStyle w:val="BodyText"/>
        <w:keepNext w:val="0"/>
        <w:widowControl/>
        <w:spacing w:after="120" w:before="0" w:line="259" w:lineRule="auto"/>
        <w:ind w:left="0" w:right="0" w:firstLine="0"/>
      </w:pPr>
      <w:r>
        <w:rPr>
          <w:rFonts w:ascii="Times New Roman" w:hAnsi="Times New Roman"/>
          <w:b w:val="0"/>
          <w:color w:val="000000"/>
          <w:sz w:val="22"/>
        </w:rPr>
        <w:t>The optimized path indexes blocks into spatial tiles, enumerates only candidates that can intersect each patch, and restores original block order before accumulation. Global page aggregation is then performed once; it is not incorrectly repeated as one page per token. Randomized mixed-block tests, duplicate observations, boundary tiles, and persistence values match the complete oracle exactly.</w:t>
      </w:r>
    </w:p>
    <w:p>
      <w:pPr>
        <w:pStyle w:val="BodyText"/>
        <w:keepNext w:val="0"/>
        <w:widowControl/>
        <w:spacing w:after="120" w:before="0" w:line="259" w:lineRule="auto"/>
        <w:ind w:left="0" w:right="0" w:firstLine="0"/>
      </w:pPr>
      <w:r>
        <w:rPr>
          <w:rFonts w:ascii="Times New Roman" w:hAnsi="Times New Roman"/>
          <w:b w:val="0"/>
          <w:color w:val="000000"/>
          <w:sz w:val="22"/>
        </w:rPr>
        <w:t>The crop in Figure 2 is the benchmark model configuration. A separate regression test deliberately uses Resize 256 to check a different transform; its coordinates are not substituted for the measured run.</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7.4 Generation checked allocation and readiness</w:t>
      </w:r>
    </w:p>
    <w:p>
      <w:pPr>
        <w:pStyle w:val="BodyText"/>
        <w:keepNext/>
        <w:widowControl/>
        <w:spacing w:after="120" w:before="120" w:line="259" w:lineRule="auto"/>
        <w:ind w:left="0" w:right="0" w:firstLine="0"/>
      </w:pPr>
      <w:r>
        <w:rPr>
          <w:rFonts w:ascii="Times New Roman" w:hAnsi="Times New Roman"/>
          <w:b/>
          <w:color w:val="000000"/>
          <w:sz w:val="22"/>
        </w:rPr>
        <w:t>Figure 3 Transaction and failure preservation</w:t>
      </w:r>
    </w:p>
    <w:p>
      <w:pPr>
        <w:spacing w:after="100"/>
        <w:jc w:val="center"/>
      </w:pPr>
      <w:r>
        <w:drawing>
          <wp:inline>
            <wp:extent cx="6400800" cy="2987040"/>
            <wp:docPr id="5" name="Picture 5"/>
            <wp:cNvGraphicFramePr>
              <a:graphicFrameLocks noChangeAspect="1"/>
            </wp:cNvGraphicFramePr>
            <a:graphic>
              <a:graphicData uri="http://schemas.openxmlformats.org/drawingml/2006/picture">
                <pic:pic>
                  <pic:nvPicPr>
                    <pic:cNvPr id="0" name="transaction.png"/>
                    <pic:cNvPicPr/>
                  </pic:nvPicPr>
                  <pic:blipFill>
                    <a:blip r:embed="rId36"/>
                    <a:stretch>
                      <a:fillRect/>
                    </a:stretch>
                  </pic:blipFill>
                  <pic:spPr>
                    <a:xfrm>
                      <a:off x="0" y="0"/>
                      <a:ext cx="6400800" cy="298704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Validate, reserve replacement space, prepare a shadow mapping, and publish before signaling ready. A stale operation is rejected. Failed replacement reservation preserves the active mapping. Atomic publication is modeled in Python.</w:t>
      </w:r>
    </w:p>
    <w:tbl>
      <w:tblPr>
        <w:tblW w:type="auto" w:w="0"/>
        <w:tblLayout w:type="fixed"/>
        <w:tblLook w:firstColumn="1" w:firstRow="1" w:lastColumn="0" w:lastRow="0" w:noHBand="0" w:noVBand="1" w:val="04A0"/>
      </w:tblPr>
      <w:tblGrid>
        <w:gridCol w:w="3029"/>
        <w:gridCol w:w="7195"/>
      </w:tblGrid>
      <w:tr>
        <w:trPr>
          <w:cantSplit/>
          <w:tblHeader/>
        </w:trPr>
        <w:tc>
          <w:tcPr>
            <w:tcW w:type="dxa" w:w="302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Descriptor field</w:t>
            </w:r>
          </w:p>
        </w:tc>
        <w:tc>
          <w:tcPr>
            <w:tcW w:type="dxa" w:w="719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Role</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stream_id and generation</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Identify the source stream and ownership version.</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page_start and page_count</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Specify a contiguous logical page range; range is validated.</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operation and target_tier</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Allocate, promote, demote, retire, or prefetch intent.</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activity, confidence, cause</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Record evidence and the reason for the operation.</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descriptor_id and frame_index</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Support idempotence and traceability. IDs advance for both normal and correction descriptors.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A successful allocation first reserves all required replacement blocks. The old mapping remains active while the shadow mapping is prepared. Publication updates the complete page range and committed generation. A ready token records stream, generation, span, and modeled fence ID. Tensor access checks both readiness and exact generation.</w:t>
      </w:r>
    </w:p>
    <w:p>
      <w:pPr>
        <w:pStyle w:val="BodyText"/>
        <w:keepNext w:val="0"/>
        <w:widowControl/>
        <w:spacing w:after="120" w:before="0" w:line="259" w:lineRule="auto"/>
        <w:ind w:left="0" w:right="0" w:firstLine="0"/>
      </w:pPr>
      <w:r>
        <w:rPr>
          <w:rFonts w:ascii="Times New Roman" w:hAnsi="Times New Roman"/>
          <w:b w:val="0"/>
          <w:color w:val="000000"/>
          <w:sz w:val="22"/>
        </w:rPr>
        <w:t>A failed replacement reservation preserves the old mapping; fallback or abort is reported without pretending the new generation is ready. Duplicate descriptor handling and stale rejection are separately tested. The software allocator uses a shared pool with replacement headroom, not physically distinct tier banks.</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7.5 Actual tensor representations and model feedback</w:t>
      </w:r>
    </w:p>
    <w:tbl>
      <w:tblPr>
        <w:tblW w:type="auto" w:w="0"/>
        <w:tblLayout w:type="fixed"/>
        <w:tblLook w:firstColumn="1" w:firstRow="1" w:lastColumn="0" w:lastRow="0" w:noHBand="0" w:noVBand="1" w:val="04A0"/>
      </w:tblPr>
      <w:tblGrid>
        <w:gridCol w:w="1515"/>
        <w:gridCol w:w="4544"/>
        <w:gridCol w:w="4165"/>
      </w:tblGrid>
      <w:tr>
        <w:trPr>
          <w:cantSplit/>
          <w:tblHeader/>
        </w:trPr>
        <w:tc>
          <w:tcPr>
            <w:tcW w:type="dxa" w:w="151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Tier</w:t>
            </w:r>
          </w:p>
        </w:tc>
        <w:tc>
          <w:tcPr>
            <w:tcW w:type="dxa" w:w="454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Actual implementation</w:t>
            </w:r>
          </w:p>
        </w:tc>
        <w:tc>
          <w:tcPr>
            <w:tcW w:type="dxa" w:w="416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Boundary</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 HOT</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Contiguous fp16 tensors on the selected torch device.</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The verified runs use CPU; a selected torch device is not a custom GPU controller.</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T1 WARM</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Symmetric per-tensor int8 on CPU with a scale, decoded on read.</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Lossy relative to original fp16; classifier/logit comparison measures observed deviation.</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COLD</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Shape header plus zlib-compressed contiguous fp16 bytes on CPU.</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Lossless relative to the fp16 payload. Archive/pickle overhead was removed in this build.</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T3</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Optional RECONSTRUCT controller/simulator state.</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Actual tensor reconstruction is not implemented; tensor writes to T3 are rejected.</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tensor store records payload bytes written/read and synchronized operation time. Payload accounting excludes Python object overhead, model weights, decoder buffers, and reuse-validation features. The controller separately estimates capacity using its configured tier ratios; that estimate is not an actual measured tensor allocation.</w:t>
      </w:r>
    </w:p>
    <w:p>
      <w:pPr>
        <w:pStyle w:val="BodyText"/>
        <w:keepNext w:val="0"/>
        <w:widowControl/>
        <w:spacing w:after="120" w:before="0" w:line="259" w:lineRule="auto"/>
        <w:ind w:left="0" w:right="0" w:firstLine="0"/>
      </w:pPr>
      <w:r>
        <w:rPr>
          <w:rFonts w:ascii="Times New Roman" w:hAnsi="Times New Roman"/>
          <w:b w:val="0"/>
          <w:color w:val="000000"/>
          <w:sz w:val="22"/>
        </w:rPr>
        <w:t>Class-token attention from the final ViT block is averaged over heads, normalized, and aggregated by page. A low-motion page with high score is a candidate for SRCE promotion. This is a model signal, not a human-labeled measure of relevance. The score arrives after that frame has completed inference, so it does not avoid the pass that produced it.</w:t>
      </w:r>
    </w:p>
    <w:p>
      <w:pPr>
        <w:pStyle w:val="BodyText"/>
        <w:keepNext w:val="0"/>
        <w:widowControl/>
        <w:spacing w:after="120" w:before="0" w:line="259" w:lineRule="auto"/>
        <w:ind w:left="0" w:right="0" w:firstLine="0"/>
      </w:pPr>
      <w:r>
        <w:rPr>
          <w:rFonts w:ascii="Times New Roman" w:hAnsi="Times New Roman"/>
          <w:b w:val="0"/>
          <w:color w:val="000000"/>
          <w:sz w:val="22"/>
        </w:rPr>
        <w:t>Corrections carry the current generation through MkadBuilder and KMC. The store synchronizes only representations whose tier actually changed. Unchanged pages are not decoded again merely to refresh a snapshot. Actual reads required inside attention remain counted.</w:t>
      </w:r>
    </w:p>
    <w:p>
      <w:pPr>
        <w:pStyle w:val="BodyText"/>
        <w:keepNext/>
        <w:widowControl/>
        <w:spacing w:after="120" w:before="120" w:line="259" w:lineRule="auto"/>
        <w:ind w:left="0" w:right="0" w:firstLine="0"/>
      </w:pPr>
      <w:r>
        <w:rPr>
          <w:rFonts w:ascii="Times New Roman" w:hAnsi="Times New Roman"/>
          <w:b/>
          <w:color w:val="000000"/>
          <w:sz w:val="22"/>
        </w:rPr>
        <w:t>Illustrative failure sequence</w:t>
      </w:r>
    </w:p>
    <w:p>
      <w:pPr>
        <w:pStyle w:val="BodyText"/>
        <w:keepNext w:val="0"/>
        <w:widowControl/>
        <w:spacing w:after="120" w:before="0" w:line="259" w:lineRule="auto"/>
        <w:ind w:left="0" w:right="0" w:firstLine="0"/>
      </w:pPr>
      <w:r>
        <w:rPr>
          <w:rFonts w:ascii="Times New Roman" w:hAnsi="Times New Roman"/>
          <w:b w:val="0"/>
          <w:color w:val="000000"/>
          <w:sz w:val="22"/>
        </w:rPr>
        <w:t>If generation 12 is current and a semantic correction for generation 11 arrives, the live controller returns STALE_DROP. A current-generation quiet page can be promoted; its retained tensor remains associated with the current generation and original content age. A subsequent attempt to read generation 11 fails even when the underlying content had been reused.</w:t>
      </w:r>
    </w:p>
    <w:p>
      <w:pPr>
        <w:pStyle w:val="BodyText"/>
        <w:keepNext/>
        <w:widowControl/>
        <w:spacing w:after="120" w:before="120" w:line="259" w:lineRule="auto"/>
        <w:ind w:left="0" w:right="0" w:firstLine="0"/>
      </w:pPr>
      <w:r>
        <w:rPr>
          <w:rFonts w:ascii="Times New Roman" w:hAnsi="Times New Roman"/>
          <w:b/>
          <w:color w:val="000000"/>
          <w:sz w:val="22"/>
        </w:rPr>
        <w:t>7.6 Exact input validation for temporal reuse</w:t>
      </w:r>
    </w:p>
    <w:p>
      <w:pPr>
        <w:pStyle w:val="BodyText"/>
        <w:keepNext w:val="0"/>
        <w:widowControl/>
        <w:spacing w:after="120" w:before="0" w:line="259" w:lineRule="auto"/>
        <w:ind w:left="0" w:right="0" w:firstLine="0"/>
      </w:pPr>
      <w:r>
        <w:rPr>
          <w:rFonts w:ascii="Times New Roman" w:hAnsi="Times New Roman"/>
          <w:b w:val="0"/>
          <w:color w:val="000000"/>
          <w:sz w:val="22"/>
        </w:rPr>
        <w:t>Low codec motion is an eligibility signal, not a sufficient proof of unchanged model features. Earlier ViT blocks use global attention, so a moving region can change contextual features elsewhere. The final-block adapter compares each eligible page input exactly with the retained feature buffer and additionally checks owner, generation continuity, model signature, geometry, device, dtype and payload age.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4 Bounded reuse decision sequence</w:t>
      </w:r>
    </w:p>
    <w:p>
      <w:pPr>
        <w:spacing w:after="100"/>
        <w:jc w:val="center"/>
      </w:pPr>
      <w:r>
        <w:drawing>
          <wp:inline>
            <wp:extent cx="6400800" cy="4267200"/>
            <wp:docPr id="6" name="Picture 6"/>
            <wp:cNvGraphicFramePr>
              <a:graphicFrameLocks noChangeAspect="1"/>
            </wp:cNvGraphicFramePr>
            <a:graphic>
              <a:graphicData uri="http://schemas.openxmlformats.org/drawingml/2006/picture">
                <pic:pic>
                  <pic:nvPicPr>
                    <pic:cNvPr id="0" name="reuse.png"/>
                    <pic:cNvPicPr/>
                  </pic:nvPicPr>
                  <pic:blipFill>
                    <a:blip r:embed="rId37"/>
                    <a:stretch>
                      <a:fillRect/>
                    </a:stretch>
                  </pic:blipFill>
                  <pic:spPr>
                    <a:xfrm>
                      <a:off x="0" y="0"/>
                      <a:ext cx="6400800" cy="426720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Readiness failure blocks model access. A failed later reuse condition refreshes the page. Passing candidates rebind retained K/V to the new ready generation; queries and prefix K/V are computed normally, and all patch K/V is still read through the store.</w:t>
      </w:r>
    </w:p>
    <w:p>
      <w:pPr>
        <w:pStyle w:val="BodyText"/>
        <w:keepNext w:val="0"/>
        <w:widowControl/>
        <w:spacing w:after="120" w:before="0" w:line="259" w:lineRule="auto"/>
        <w:ind w:left="0" w:right="0" w:firstLine="0"/>
      </w:pPr>
      <w:r>
        <w:rPr>
          <w:rFonts w:ascii="Times New Roman" w:hAnsi="Times New Roman"/>
          <w:b w:val="0"/>
          <w:color w:val="000000"/>
          <w:sz w:val="22"/>
        </w:rPr>
        <w:t>The exact-input check applies at the final attention block, after earlier global attention. This matters because low pixel motion does not guarantee unchanged contextual features. The adapter computes Q for every token and K/V only for prefix tokens and misses; attention still reads each patch page through the store.</w:t>
      </w:r>
    </w:p>
    <w:p>
      <w:pPr>
        <w:pStyle w:val="BodyText"/>
        <w:keepNext w:val="0"/>
        <w:widowControl/>
        <w:spacing w:after="120" w:before="0" w:line="259" w:lineRule="auto"/>
        <w:ind w:left="0" w:right="0" w:firstLine="0"/>
      </w:pPr>
      <w:r>
        <w:rPr>
          <w:rFonts w:ascii="Times New Roman" w:hAnsi="Times New Roman"/>
          <w:b w:val="0"/>
          <w:color w:val="000000"/>
          <w:sz w:val="22"/>
        </w:rPr>
        <w:t>The default maximum origin age is eight processed generations. Tier migration preserves origin_generation, so repeated promotion cannot indefinitely renew stale content. Only the latest validation features and payloads are retained. Inference failure, controller change, generation gaps, and parameter changes invalidate history.</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7.7 Input transport and optimized implementation</w:t>
      </w:r>
    </w:p>
    <w:p>
      <w:pPr>
        <w:pStyle w:val="BodyText"/>
        <w:keepNext w:val="0"/>
        <w:widowControl/>
        <w:spacing w:after="120" w:before="0" w:line="259" w:lineRule="auto"/>
        <w:ind w:left="0" w:right="0" w:firstLine="0"/>
      </w:pPr>
      <w:r>
        <w:rPr>
          <w:rFonts w:ascii="Times New Roman" w:hAnsi="Times New Roman"/>
          <w:b w:val="0"/>
          <w:color w:val="000000"/>
          <w:sz w:val="22"/>
        </w:rPr>
        <w:t>File input uses PyAV/FFmpeg export_mvs and emits one JSONL record per processed frame. A missing-vector intra frame, unsupported codec, or unreliable metadata enters fallback. Residual energy is unavailable through this adapter and is not fabricated. FFmpeg-compatible encoded network inputs are accepted, subject to decoder support.</w:t>
      </w:r>
    </w:p>
    <w:p>
      <w:pPr>
        <w:pStyle w:val="BodyText"/>
        <w:keepNext w:val="0"/>
        <w:widowControl/>
        <w:spacing w:after="120" w:before="0" w:line="259" w:lineRule="auto"/>
        <w:ind w:left="0" w:right="0" w:firstLine="0"/>
      </w:pPr>
      <w:r>
        <w:rPr>
          <w:rFonts w:ascii="Times New Roman" w:hAnsi="Times New Roman"/>
          <w:b w:val="0"/>
          <w:color w:val="000000"/>
          <w:sz w:val="22"/>
        </w:rPr>
        <w:t>The Android USB mode uses scrcpy direct-camera H.264 capture and ADB on Android 12 or newer. A private FIFO carries Matroska bytes without saving a camera recording, audio is disabled, and the decoder keeps one latest decoded frame. Software tests exercise a real encoded producer, timeout/cleanup, and exclusive sessions. scrcpy/ADB installation and a physical-phone trial remain pending; neither is presented as completed evidence.</w:t>
      </w:r>
    </w:p>
    <w:p>
      <w:pPr>
        <w:pStyle w:val="BodyText"/>
        <w:keepNext/>
        <w:widowControl/>
        <w:spacing w:after="120" w:before="120" w:line="259" w:lineRule="auto"/>
        <w:ind w:left="0" w:right="0" w:firstLine="0"/>
      </w:pPr>
      <w:r>
        <w:rPr>
          <w:rFonts w:ascii="Times New Roman" w:hAnsi="Times New Roman"/>
          <w:b/>
          <w:color w:val="000000"/>
          <w:sz w:val="22"/>
        </w:rPr>
        <w:t>Optimizations implemented in this build</w:t>
      </w:r>
    </w:p>
    <w:tbl>
      <w:tblPr>
        <w:tblW w:type="auto" w:w="0"/>
        <w:tblLayout w:type="fixed"/>
        <w:tblLook w:firstColumn="1" w:firstRow="1" w:lastColumn="0" w:lastRow="0" w:noHBand="0" w:noVBand="1" w:val="04A0"/>
      </w:tblPr>
      <w:tblGrid>
        <w:gridCol w:w="3181"/>
        <w:gridCol w:w="7043"/>
      </w:tblGrid>
      <w:tr>
        <w:trPr>
          <w:cantSplit/>
          <w:tblHeader/>
        </w:trPr>
        <w:tc>
          <w:tcPr>
            <w:tcW w:type="dxa" w:w="318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Change</w:t>
            </w:r>
          </w:p>
        </w:tc>
        <w:tc>
          <w:tcPr>
            <w:tcW w:type="dxa" w:w="704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Reason and verification</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Enable tiled reconciliation in LiveController</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Avoid all-block scans per patch. Restore original accumulation order and compare complete token/page outputs against the oracle.</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Correct page aggregation</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Combine all token records before page aggregation; prevent duplicate per-token page summaries.</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Align actual preprocessing geometry</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Invert the selected model resize/center crop and apply it to token regions. Bounds are covered by tests.</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Use compact T2 bytes</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Compress fp16 bytes and shape metadata without torch.save ZIP/pickle containers. Scalar, empty, and multidimensional round trips are exact after fp16 conversion.</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Synchronize only changed tiers</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Remove unnecessary post-attention full-page rereads. Migration I/O remains measured.</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correctness oracle remains selectable with mtre.use_optimized_path=false in configuration. The frozen architecture document is preserved. The default implementation path changes, but the candidate transaction and correction sequence remains the same.</w:t>
      </w:r>
    </w:p>
    <w:p>
      <w:pPr>
        <w:pStyle w:val="BodyText"/>
        <w:keepNext w:val="0"/>
        <w:widowControl/>
        <w:spacing w:after="120" w:before="0" w:line="259" w:lineRule="auto"/>
        <w:ind w:left="0" w:right="0" w:firstLine="0"/>
      </w:pPr>
      <w:r>
        <w:rPr>
          <w:rFonts w:ascii="Times New Roman" w:hAnsi="Times New Roman"/>
          <w:b w:val="0"/>
          <w:color w:val="000000"/>
          <w:sz w:val="22"/>
        </w:rPr>
        <w:t>Not implemented: a physical GPU/RTL KMC, an all-layer VLM integration, cross-window language-model context management, production asynchronous media/GPU overlap, generic browser/webcam upload, or a representative downstream task benchmark.</w:t>
      </w:r>
    </w:p>
    <w:p>
      <w:pPr>
        <w:pStyle w:val="BodyText"/>
        <w:keepNext/>
        <w:widowControl/>
        <w:spacing w:after="120" w:before="120" w:line="259" w:lineRule="auto"/>
        <w:ind w:left="0" w:right="0" w:firstLine="0"/>
      </w:pPr>
      <w:r>
        <w:rPr>
          <w:rFonts w:ascii="Times New Roman" w:hAnsi="Times New Roman"/>
          <w:b/>
          <w:color w:val="000000"/>
          <w:sz w:val="22"/>
        </w:rPr>
        <w:t>7.8 Other embodiments and industrial application</w:t>
      </w:r>
    </w:p>
    <w:p>
      <w:pPr>
        <w:pStyle w:val="BodyText"/>
        <w:keepNext w:val="0"/>
        <w:widowControl/>
        <w:spacing w:after="120" w:before="0" w:line="259" w:lineRule="auto"/>
        <w:ind w:left="0" w:right="0" w:firstLine="0"/>
      </w:pPr>
      <w:r>
        <w:rPr>
          <w:rFonts w:ascii="Times New Roman" w:hAnsi="Times New Roman"/>
          <w:b w:val="0"/>
          <w:color w:val="000000"/>
          <w:sz w:val="22"/>
        </w:rPr>
        <w:t>The arrangement can be applied to continuous visual inference in edge video analytics, robotics and camera-based assistive systems where visual K/V residency competes with limited fast memory. A hardware embodiment could receive codec metadata from a media engine, translate page intent into device-memory operations and use a hardware completion fence before attention. That embodiment requires its own implementation and validation.</w:t>
      </w:r>
    </w:p>
    <w:p>
      <w:pPr>
        <w:pStyle w:val="BodyText"/>
        <w:keepNext w:val="0"/>
        <w:widowControl/>
        <w:spacing w:after="120" w:before="0" w:line="259" w:lineRule="auto"/>
        <w:ind w:left="0" w:right="0" w:firstLine="0"/>
      </w:pPr>
      <w:r>
        <w:rPr>
          <w:rFonts w:ascii="Times New Roman" w:hAnsi="Times New Roman"/>
          <w:b w:val="0"/>
          <w:color w:val="000000"/>
          <w:sz w:val="22"/>
        </w:rPr>
        <w:t>A full vision-language embodiment would additionally define token ownership across frames and language context, layer-specific K/V layouts and decoder metadata availability. These proposed uses do not extend the evidence from the current final-block image-classifier prototype to all VLM layers or device-level throughput.</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8 Experimental validation results</w:t>
      </w:r>
    </w:p>
    <w:p>
      <w:pPr>
        <w:pStyle w:val="BodyText"/>
        <w:keepNext/>
        <w:widowControl/>
        <w:spacing w:after="120" w:before="120" w:line="259" w:lineRule="auto"/>
        <w:ind w:left="0" w:right="0" w:firstLine="0"/>
      </w:pPr>
      <w:r>
        <w:rPr>
          <w:rFonts w:ascii="Times New Roman" w:hAnsi="Times New Roman"/>
          <w:b/>
          <w:color w:val="000000"/>
          <w:sz w:val="22"/>
        </w:rPr>
        <w:t>8.1 Implemented prototype and test setup</w:t>
      </w:r>
    </w:p>
    <w:p>
      <w:pPr>
        <w:pStyle w:val="BodyText"/>
        <w:keepNext w:val="0"/>
        <w:widowControl/>
        <w:spacing w:after="120" w:before="0" w:line="259" w:lineRule="auto"/>
        <w:ind w:left="0" w:right="0" w:firstLine="0"/>
      </w:pPr>
      <w:r>
        <w:rPr>
          <w:rFonts w:ascii="Times New Roman" w:hAnsi="Times New Roman"/>
          <w:b w:val="0"/>
          <w:color w:val="000000"/>
          <w:sz w:val="22"/>
        </w:rPr>
        <w:t>Evidence was generated from the current local working tree on 21 October 2026. It is a self-run engineering validation, not an independent replication. The generated H.264 source is 640 x 360, 12 fps, and 216 frames, with still, moving-object, still, and scene-cut phases. Generated input is deliberately labeled; it is not described as a representative external dataset.</w:t>
      </w:r>
    </w:p>
    <w:tbl>
      <w:tblPr>
        <w:tblW w:type="auto" w:w="0"/>
        <w:tblLayout w:type="fixed"/>
        <w:tblLook w:firstColumn="1" w:firstRow="1" w:lastColumn="0" w:lastRow="0" w:noHBand="0" w:noVBand="1" w:val="04A0"/>
      </w:tblPr>
      <w:tblGrid>
        <w:gridCol w:w="2499"/>
        <w:gridCol w:w="7725"/>
      </w:tblGrid>
      <w:tr>
        <w:trPr>
          <w:cantSplit/>
          <w:tblHeader/>
        </w:trPr>
        <w:tc>
          <w:tcPr>
            <w:tcW w:type="dxa" w:w="249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Setting</w:t>
            </w:r>
          </w:p>
        </w:tc>
        <w:tc>
          <w:tcPr>
            <w:tcW w:type="dxa" w:w="772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Value</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Model</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vit_tiny_patch16_224.augreg_in21k_ft_in1k, pretrained ViT-Tiny image classifier</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Scope</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Final attention block; 196 patch tokens, 32 tokens/page, 7 pages; prefix tokens remain in the model</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Device</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CPU; this runtime reports CUDA unavailable and MPS unavailable</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Paired experiment</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3 alternating oracle/indexed pairs; 60 frames/run; first 6 excluded; identical crop, storage, model, source, and reuse settings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Comparison inside each run</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Standard model inference on the same frame plus stored-K/V inference; top-1 and mean absolute logit error recorded</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Timing boundary</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Decoder plus processing; excludes model loading, JSON serialization, dashboard rendering, and presentation pacing</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Functional run</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 separate serial 216-frame run covering all four generated phases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Environment: Python 3.14.3, macOS 26.6.2 arm64, PyAV 19.0.1, PyTorch 2.14.1 and timm 1.0.30. The runtime reports CUDA and MPS unavailable. The generated input hash is 5f51727be4c68e07b409f4f56645b84d97a004369ec13fab61d07c359bb36357.</w:t>
      </w:r>
    </w:p>
    <w:p>
      <w:pPr>
        <w:pStyle w:val="BodyText"/>
        <w:keepNext/>
        <w:widowControl/>
        <w:spacing w:after="120" w:before="120" w:line="259" w:lineRule="auto"/>
        <w:ind w:left="0" w:right="0" w:firstLine="0"/>
      </w:pPr>
      <w:r>
        <w:rPr>
          <w:rFonts w:ascii="Times New Roman" w:hAnsi="Times New Roman"/>
          <w:b/>
          <w:color w:val="000000"/>
          <w:sz w:val="22"/>
        </w:rPr>
        <w:t>8.2 Procedure and comparison</w:t>
      </w:r>
    </w:p>
    <w:p>
      <w:pPr>
        <w:pStyle w:val="BodyText"/>
        <w:keepNext w:val="0"/>
        <w:widowControl/>
        <w:spacing w:after="120" w:before="0" w:line="259" w:lineRule="auto"/>
        <w:ind w:left="0" w:right="0" w:firstLine="0"/>
      </w:pPr>
      <w:r>
        <w:rPr>
          <w:rFonts w:ascii="Times New Roman" w:hAnsi="Times New Roman"/>
          <w:b w:val="0"/>
          <w:color w:val="000000"/>
          <w:sz w:val="22"/>
        </w:rPr>
        <w:t>We ran a 216-frame encoded sequence through the actual decoder, generation-safe controller, tensor store and final ViT attention block. Standard model logits were computed on the same frames for comparison. We also alternated three 60-frame oracle/indexed pairs, excluding the first six frames of each run. The crop, model, storage and reuse settings remained equal; the reconciliation path was the changed condition.</w:t>
      </w:r>
    </w:p>
    <w:p>
      <w:pPr>
        <w:pStyle w:val="BodyText"/>
        <w:keepNext w:val="0"/>
        <w:widowControl/>
        <w:spacing w:after="120" w:before="0" w:line="259" w:lineRule="auto"/>
        <w:ind w:left="0" w:right="0" w:firstLine="0"/>
      </w:pPr>
      <w:r>
        <w:rPr>
          <w:rFonts w:ascii="Times New Roman" w:hAnsi="Times New Roman"/>
          <w:b w:val="0"/>
          <w:color w:val="000000"/>
          <w:sz w:val="22"/>
        </w:rPr>
        <w:t>The timing boundary includes decoder and processing work, including the baseline comparison; it excludes weight loading, JSON serialization, dashboard rendering and display pacing. The primary statistic is the median of three per-run means, not a pooled-frame median.</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8.3 Measured optimization results</w:t>
      </w:r>
    </w:p>
    <w:p>
      <w:pPr>
        <w:pStyle w:val="BodyText"/>
        <w:keepNext/>
        <w:widowControl/>
        <w:spacing w:after="120" w:before="120" w:line="259" w:lineRule="auto"/>
        <w:ind w:left="0" w:right="0" w:firstLine="0"/>
      </w:pPr>
      <w:r>
        <w:rPr>
          <w:rFonts w:ascii="Times New Roman" w:hAnsi="Times New Roman"/>
          <w:b/>
          <w:color w:val="000000"/>
          <w:sz w:val="22"/>
        </w:rPr>
        <w:t>Figure 5 Paired CPU processing time</w:t>
      </w:r>
    </w:p>
    <w:p>
      <w:pPr>
        <w:spacing w:after="100"/>
        <w:jc w:val="center"/>
      </w:pPr>
      <w:r>
        <w:drawing>
          <wp:inline>
            <wp:extent cx="6400800" cy="3111500"/>
            <wp:docPr id="7" name="Picture 7"/>
            <wp:cNvGraphicFramePr>
              <a:graphicFrameLocks noChangeAspect="1"/>
            </wp:cNvGraphicFramePr>
            <a:graphic>
              <a:graphicData uri="http://schemas.openxmlformats.org/drawingml/2006/picture">
                <pic:pic>
                  <pic:nvPicPr>
                    <pic:cNvPr id="0" name="paired-latency.png"/>
                    <pic:cNvPicPr/>
                  </pic:nvPicPr>
                  <pic:blipFill>
                    <a:blip r:embed="rId38"/>
                    <a:stretch>
                      <a:fillRect/>
                    </a:stretch>
                  </pic:blipFill>
                  <pic:spPr>
                    <a:xfrm>
                      <a:off x="0" y="0"/>
                      <a:ext cx="6400800" cy="311150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The indexed path has 52.34 percent lower measured frame time than the reference reconciliation path in the same final build. All paired controller-decision hashes match. This comparison isolates mapping choice and does not establish speedup over standard ViT or a production VLM.</w:t>
      </w:r>
    </w:p>
    <w:p>
      <w:pPr>
        <w:pStyle w:val="BodyText"/>
        <w:keepNext w:val="0"/>
        <w:widowControl/>
        <w:spacing w:after="120" w:before="0" w:line="259" w:lineRule="auto"/>
        <w:ind w:left="0" w:right="0" w:firstLine="0"/>
      </w:pPr>
      <w:r>
        <w:rPr>
          <w:rFonts w:ascii="Times New Roman" w:hAnsi="Times New Roman"/>
          <w:b w:val="0"/>
          <w:color w:val="000000"/>
          <w:sz w:val="20"/>
        </w:rPr>
        <w:t>Source: paired-serial/manifest.json and six paired JSONL traces.</w:t>
      </w:r>
    </w:p>
    <w:tbl>
      <w:tblPr>
        <w:tblW w:type="auto" w:w="0"/>
        <w:tblLayout w:type="fixed"/>
        <w:tblLook w:firstColumn="1" w:firstRow="1" w:lastColumn="0" w:lastRow="0" w:noHBand="0" w:noVBand="1" w:val="04A0"/>
      </w:tblPr>
      <w:tblGrid>
        <w:gridCol w:w="800"/>
        <w:gridCol w:w="1334"/>
        <w:gridCol w:w="1156"/>
        <w:gridCol w:w="1334"/>
        <w:gridCol w:w="1334"/>
        <w:gridCol w:w="2134"/>
        <w:gridCol w:w="2134"/>
      </w:tblGrid>
      <w:tr>
        <w:trPr>
          <w:cantSplit/>
          <w:tblHeader/>
        </w:trPr>
        <w:tc>
          <w:tcPr>
            <w:tcW w:type="dxa" w:w="800"/>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Pair</w:t>
            </w:r>
          </w:p>
        </w:tc>
        <w:tc>
          <w:tcPr>
            <w:tcW w:type="dxa" w:w="13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Path</w:t>
            </w:r>
          </w:p>
        </w:tc>
        <w:tc>
          <w:tcPr>
            <w:tcW w:type="dxa" w:w="115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Frames</w:t>
            </w:r>
          </w:p>
        </w:tc>
        <w:tc>
          <w:tcPr>
            <w:tcW w:type="dxa" w:w="13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Mean ms</w:t>
            </w:r>
          </w:p>
        </w:tc>
        <w:tc>
          <w:tcPr>
            <w:tcW w:type="dxa" w:w="13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P95 ms</w:t>
            </w:r>
          </w:p>
        </w:tc>
        <w:tc>
          <w:tcPr>
            <w:tcW w:type="dxa" w:w="21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Page reuses</w:t>
            </w:r>
          </w:p>
        </w:tc>
        <w:tc>
          <w:tcPr>
            <w:tcW w:type="dxa" w:w="21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Top 1 agreement</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oracle</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55.570</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58.799</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indexed</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26.467</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30.292</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indexed</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26.484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30.436</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oracle</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55.944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68.404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oracle</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55.347</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59.913</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indexed</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27.909</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37.995</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median of the three per-run mean frame times is 55.57 ms for the oracle and 26.48 ms for indexed mapping. The observed ratio is 2.10x, equivalent to 52.34% lower frame time in this experiment. All paired controller-decision hashes match, including page tiers, descriptors, readiness, correction actions, and source crop.</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8.4 Full sequence validation and interpretation</w:t>
      </w:r>
    </w:p>
    <w:p>
      <w:pPr>
        <w:pStyle w:val="BodyText"/>
        <w:keepNext/>
        <w:widowControl/>
        <w:spacing w:after="120" w:before="120" w:line="259" w:lineRule="auto"/>
        <w:ind w:left="0" w:right="0" w:firstLine="0"/>
      </w:pPr>
      <w:r>
        <w:rPr>
          <w:rFonts w:ascii="Times New Roman" w:hAnsi="Times New Roman"/>
          <w:b/>
          <w:color w:val="000000"/>
          <w:sz w:val="22"/>
        </w:rPr>
        <w:t>Full serial generated video run</w:t>
      </w:r>
    </w:p>
    <w:tbl>
      <w:tblPr>
        <w:tblW w:type="auto" w:w="0"/>
        <w:tblLayout w:type="fixed"/>
        <w:tblLook w:firstColumn="1" w:firstRow="1" w:lastColumn="0" w:lastRow="0" w:noHBand="0" w:noVBand="1" w:val="04A0"/>
      </w:tblPr>
      <w:tblGrid>
        <w:gridCol w:w="5301"/>
        <w:gridCol w:w="4923"/>
      </w:tblGrid>
      <w:tr>
        <w:trPr>
          <w:cantSplit/>
          <w:tblHeader/>
        </w:trPr>
        <w:tc>
          <w:tcPr>
            <w:tcW w:type="dxa" w:w="530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Measurement</w:t>
            </w:r>
          </w:p>
        </w:tc>
        <w:tc>
          <w:tcPr>
            <w:tcW w:type="dxa" w:w="492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Observed value</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Frames ready / compared</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216 / 216</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Page reuses / recomputed pages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862 / 650</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Patch K/V tokens reused</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24112</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Top 1 agreement / mean absolute logit error</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100.0% / 0.00022324</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Mean / P95 decoder plus processing time</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28.760 / 38.854 ms</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Metadata fallback</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1.852% of frames</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Peak tensor payload / peak validation input buffers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150,528 / 150,528 bytes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These results demonstrate working reuse and an indexed-mapping improvement on this sample. They do not show a memory reduction for the whole model: validation buffers are additional, and the payload peak excludes model weights. They also do not establish a speedup over standard inference. In the full run, the baseline model and stored-K/V model times are separately recorded; earlier ViT blocks still execute.</w:t>
      </w:r>
    </w:p>
    <w:p>
      <w:pPr>
        <w:pStyle w:val="BodyText"/>
        <w:keepNext w:val="0"/>
        <w:widowControl/>
        <w:spacing w:after="120" w:before="0" w:line="259" w:lineRule="auto"/>
        <w:ind w:left="0" w:right="0" w:firstLine="0"/>
      </w:pPr>
      <w:r>
        <w:rPr>
          <w:rFonts w:ascii="Times New Roman" w:hAnsi="Times New Roman"/>
          <w:b w:val="0"/>
          <w:color w:val="000000"/>
          <w:sz w:val="22"/>
        </w:rPr>
        <w:t>The experiment has no task labels, confidence interval, thermal controls, power measurement, or external corpus. Top-1 agreement is only classifier consistency on these frames. Representative static/motion/scene-change videos and downstream quality tasks remain necessary before broader numerical assertions.</w:t>
      </w:r>
    </w:p>
    <w:p>
      <w:pPr>
        <w:pStyle w:val="BodyText"/>
        <w:keepNext/>
        <w:widowControl/>
        <w:spacing w:after="120" w:before="120" w:line="259" w:lineRule="auto"/>
        <w:ind w:left="0" w:right="0" w:firstLine="0"/>
      </w:pPr>
      <w:r>
        <w:rPr>
          <w:rFonts w:ascii="Times New Roman" w:hAnsi="Times New Roman"/>
          <w:b/>
          <w:color w:val="000000"/>
          <w:sz w:val="22"/>
        </w:rPr>
        <w:t>Meaning of agreement and memory figures</w:t>
      </w:r>
    </w:p>
    <w:p>
      <w:pPr>
        <w:pStyle w:val="BodyText"/>
        <w:keepNext w:val="0"/>
        <w:widowControl/>
        <w:spacing w:after="120" w:before="0" w:line="259" w:lineRule="auto"/>
        <w:ind w:left="0" w:right="0" w:firstLine="0"/>
      </w:pPr>
      <w:r>
        <w:rPr>
          <w:rFonts w:ascii="Times New Roman" w:hAnsi="Times New Roman"/>
          <w:b w:val="0"/>
          <w:color w:val="000000"/>
          <w:sz w:val="22"/>
        </w:rPr>
        <w:t>Top-1 agreement means that the stored-K/V classifier and standard classifier selected the same class on these generated frames. It is not task accuracy against ground truth. Tensor payload excludes weights, decoder buffers and Python overhead; the reuse validation buffer is additional memory. There is no measured whole-model memory-reduction claim.</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8.5 Behavioral evidence from individual frames</w:t>
      </w:r>
    </w:p>
    <w:p>
      <w:pPr>
        <w:pStyle w:val="BodyText"/>
        <w:keepNext w:val="0"/>
        <w:widowControl/>
        <w:spacing w:after="120" w:before="0" w:line="259" w:lineRule="auto"/>
        <w:ind w:left="0" w:right="0" w:firstLine="0"/>
      </w:pPr>
      <w:r>
        <w:rPr>
          <w:rFonts w:ascii="Times New Roman" w:hAnsi="Times New Roman"/>
          <w:b w:val="0"/>
          <w:color w:val="000000"/>
          <w:sz w:val="22"/>
        </w:rPr>
        <w:t>The following observations come from the same serial trace. They link the claimed mechanism to a trigger, an executed action and a recorded outcome, rather than relying on the interface alone.</w:t>
      </w:r>
    </w:p>
    <w:tbl>
      <w:tblPr>
        <w:tblW w:type="auto" w:w="0"/>
        <w:tblLayout w:type="fixed"/>
        <w:tblLook w:firstColumn="1" w:firstRow="1" w:lastColumn="0" w:lastRow="0" w:noHBand="0" w:noVBand="1" w:val="04A0"/>
      </w:tblPr>
      <w:tblGrid>
        <w:gridCol w:w="2088"/>
        <w:gridCol w:w="3960"/>
        <w:gridCol w:w="4176"/>
      </w:tblGrid>
      <w:tr>
        <w:trPr>
          <w:cantSplit/>
          <w:tblHeader/>
        </w:trPr>
        <w:tc>
          <w:tcPr>
            <w:tcW w:type="dxa" w:w="208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Frame and trigger</w:t>
            </w:r>
          </w:p>
        </w:tc>
        <w:tc>
          <w:tcPr>
            <w:tcW w:type="dxa" w:w="3960"/>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Recorded action</w:t>
            </w:r>
          </w:p>
        </w:tc>
        <w:tc>
          <w:tcPr>
            <w:tcW w:type="dxa" w:w="417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Observed outcome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w:t>
              <w:br/>
              <w:t>No motion-vector metadata</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Conservative T0 allocation; no history reused.</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READY; 7 recomputed pages; 7 consumed pages; baseline top-1 agrees.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3</w:t>
              <w:br/>
              <w:t>Quiet codec evidence</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Codec descriptor places pages in T2; semantic feedback promotes pages 0, 5 and 6.</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Three APPLIED corrections; final mapping 3 T0 and 4 T2 pages.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8</w:t>
              <w:br/>
              <w:t>Static eligible features</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 7 pages retain origin generation 7 and rebind after current readiness.</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196 patch tokens reused; only 1 prefix token projected for K/V.</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43</w:t>
              <w:br/>
              <w:t>Origin age exceeded</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window_expired for all 7 pages.</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 reused; 7 refreshed. Nearby static frames resume reuse.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55</w:t>
              <w:br/>
              <w:t>Moving phase begins</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Exact final-block inputs reject 5 candidates; codec/temporal checks reject 2.</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 7 refreshed despite 5 pages passing the earlier eligibility filter.</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163</w:t>
              <w:br/>
              <w:t>Scene-cut phase begins</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Missing metadata causes conservative fallback.</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 7 refreshed; no retained payload reused on the cut frame.</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Every listed frame is READY and its baseline top-1 comparison agrees. A selected-record export retains the full descriptors, ready tokens, semantic actions and reuse provenance for inspection. Frame numbers identify processed generations in this fixed file run.</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6 Running prototype with committed page residency</w:t>
      </w:r>
    </w:p>
    <w:p>
      <w:pPr>
        <w:spacing w:after="100"/>
        <w:jc w:val="center"/>
      </w:pPr>
      <w:r>
        <w:drawing>
          <wp:inline>
            <wp:extent cx="6400800" cy="3600450"/>
            <wp:docPr id="8" name="Picture 8"/>
            <wp:cNvGraphicFramePr>
              <a:graphicFrameLocks noChangeAspect="1"/>
            </wp:cNvGraphicFramePr>
            <a:graphic>
              <a:graphicData uri="http://schemas.openxmlformats.org/drawingml/2006/picture">
                <pic:pic>
                  <pic:nvPicPr>
                    <pic:cNvPr id="0" name="prototype-video-and-pages.png"/>
                    <pic:cNvPicPr/>
                  </pic:nvPicPr>
                  <pic:blipFill>
                    <a:blip r:embed="rId39"/>
                    <a:stretch>
                      <a:fillRect/>
                    </a:stretch>
                  </pic:blipFill>
                  <pic:spPr>
                    <a:xfrm>
                      <a:off x="0" y="0"/>
                      <a:ext cx="6400800" cy="360045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At frame 48 the actual dashboard shows the decoded input, seven logical pages, three T0 pages after semantic correction and seven reused K/V pages. The page tiles are logical token-page order, not object boxes. The displayed 33.22 fps is the inverse of this frame's decoder/processing time and excludes preview and pacing.</w:t>
      </w:r>
    </w:p>
    <w:p>
      <w:pPr>
        <w:pStyle w:val="BodyText"/>
        <w:keepNext w:val="0"/>
        <w:widowControl/>
        <w:spacing w:after="120" w:before="0" w:line="259" w:lineRule="auto"/>
        <w:ind w:left="0" w:right="0" w:firstLine="0"/>
      </w:pPr>
      <w:r>
        <w:rPr>
          <w:rFonts w:ascii="Times New Roman" w:hAnsi="Times New Roman"/>
          <w:b w:val="0"/>
          <w:color w:val="000000"/>
          <w:sz w:val="20"/>
        </w:rPr>
        <w:t>Source: Running local MTR-KV dashboard, 21 October 2026; unmodified prototype-video-and-pages.png. Screenshot session is separate from the serial benchmark.</w:t>
      </w:r>
    </w:p>
    <w:p>
      <w:pPr>
        <w:pStyle w:val="BodyText"/>
        <w:keepNext/>
        <w:widowControl/>
        <w:spacing w:after="120" w:before="120" w:line="259" w:lineRule="auto"/>
        <w:ind w:left="0" w:right="0" w:firstLine="0"/>
      </w:pPr>
      <w:r>
        <w:rPr>
          <w:rFonts w:ascii="Times New Roman" w:hAnsi="Times New Roman"/>
          <w:b/>
          <w:color w:val="000000"/>
          <w:sz w:val="22"/>
        </w:rPr>
        <w:t>How this view demonstrates the mechanism</w:t>
      </w:r>
    </w:p>
    <w:p>
      <w:pPr>
        <w:pStyle w:val="BodyText"/>
        <w:keepNext w:val="0"/>
        <w:widowControl/>
        <w:spacing w:after="120" w:before="0" w:line="259" w:lineRule="auto"/>
        <w:ind w:left="0" w:right="0" w:firstLine="0"/>
      </w:pPr>
      <w:r>
        <w:rPr>
          <w:rFonts w:ascii="Times New Roman" w:hAnsi="Times New Roman"/>
          <w:b w:val="0"/>
          <w:color w:val="000000"/>
          <w:sz w:val="22"/>
        </w:rPr>
        <w:t>The source pane establishes actual decoding. The committed page display exposes the controller result. Reuse counts come from tensor operations in the model-facing path, while the trace table compares the resulting classifier output with standard inference. The screenshot is corroborating visual evidence; the raw trace remains the primary numerical record.</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7 Reuse and age bound visible in the frame table</w:t>
      </w:r>
    </w:p>
    <w:p>
      <w:pPr>
        <w:spacing w:after="100"/>
        <w:jc w:val="center"/>
      </w:pPr>
      <w:r>
        <w:drawing>
          <wp:inline>
            <wp:extent cx="6400800" cy="3600450"/>
            <wp:docPr id="9" name="Picture 9"/>
            <wp:cNvGraphicFramePr>
              <a:graphicFrameLocks noChangeAspect="1"/>
            </wp:cNvGraphicFramePr>
            <a:graphic>
              <a:graphicData uri="http://schemas.openxmlformats.org/drawingml/2006/picture">
                <pic:pic>
                  <pic:nvPicPr>
                    <pic:cNvPr id="0" name="prototype-reuse-trace.png"/>
                    <pic:cNvPicPr/>
                  </pic:nvPicPr>
                  <pic:blipFill>
                    <a:blip r:embed="rId40"/>
                    <a:stretch>
                      <a:fillRect/>
                    </a:stretch>
                  </pic:blipFill>
                  <pic:spPr>
                    <a:xfrm>
                      <a:off x="0" y="0"/>
                      <a:ext cx="6400800" cy="360045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Frame 43 refreshes all pages at the configured age limit; neighboring static frames reuse seven pages. The displayed observations contain 143186 payload bytes, distinct from the run-wide peak. The quality column reports standard-model top-1 agreement.</w:t>
      </w:r>
    </w:p>
    <w:p>
      <w:pPr>
        <w:pStyle w:val="BodyText"/>
        <w:keepNext w:val="0"/>
        <w:widowControl/>
        <w:spacing w:after="120" w:before="0" w:line="259" w:lineRule="auto"/>
        <w:ind w:left="0" w:right="0" w:firstLine="0"/>
      </w:pPr>
      <w:r>
        <w:rPr>
          <w:rFonts w:ascii="Times New Roman" w:hAnsi="Times New Roman"/>
          <w:b w:val="0"/>
          <w:color w:val="000000"/>
          <w:sz w:val="20"/>
        </w:rPr>
        <w:t>Source: Running local MTR-KV dashboard, 21 October 2026; unmodified prototype-reuse-trace.png.</w:t>
      </w:r>
    </w:p>
    <w:p>
      <w:pPr>
        <w:pStyle w:val="BodyText"/>
        <w:keepNext/>
        <w:widowControl/>
        <w:spacing w:after="120" w:before="120" w:line="259" w:lineRule="auto"/>
        <w:ind w:left="0" w:right="0" w:firstLine="0"/>
      </w:pPr>
      <w:r>
        <w:rPr>
          <w:rFonts w:ascii="Times New Roman" w:hAnsi="Times New Roman"/>
          <w:b/>
          <w:color w:val="000000"/>
          <w:sz w:val="22"/>
        </w:rPr>
        <w:t>8.6 Semantic correction witness</w:t>
      </w:r>
    </w:p>
    <w:tbl>
      <w:tblPr>
        <w:tblW w:type="auto" w:w="0"/>
        <w:tblLayout w:type="fixed"/>
        <w:tblLook w:firstColumn="1" w:firstRow="1" w:lastColumn="0" w:lastRow="0" w:noHBand="0" w:noVBand="1" w:val="04A0"/>
      </w:tblPr>
      <w:tblGrid>
        <w:gridCol w:w="1006"/>
        <w:gridCol w:w="2011"/>
        <w:gridCol w:w="2179"/>
        <w:gridCol w:w="3352"/>
        <w:gridCol w:w="1676"/>
      </w:tblGrid>
      <w:tr>
        <w:trPr>
          <w:cantSplit/>
          <w:tblHeader/>
        </w:trPr>
        <w:tc>
          <w:tcPr>
            <w:tcW w:type="dxa" w:w="100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Page</w:t>
            </w:r>
          </w:p>
        </w:tc>
        <w:tc>
          <w:tcPr>
            <w:tcW w:type="dxa" w:w="201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Codec activity</w:t>
            </w:r>
          </w:p>
        </w:tc>
        <w:tc>
          <w:tcPr>
            <w:tcW w:type="dxa" w:w="217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Attention proxy</w:t>
            </w:r>
          </w:p>
        </w:tc>
        <w:tc>
          <w:tcPr>
            <w:tcW w:type="dxa" w:w="335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Correction</w:t>
            </w:r>
          </w:p>
        </w:tc>
        <w:tc>
          <w:tcPr>
            <w:tcW w:type="dxa" w:w="167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Final tier</w:t>
            </w:r>
          </w:p>
        </w:tc>
      </w:tr>
      <w:tr>
        <w:trPr>
          <w:cantSplit/>
        </w:trPr>
        <w:tc>
          <w:tcPr>
            <w:tcW w:type="dxa" w:w="100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w:t>
            </w:r>
          </w:p>
        </w:tc>
        <w:tc>
          <w:tcPr>
            <w:tcW w:type="dxa" w:w="20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w:t>
            </w:r>
          </w:p>
        </w:tc>
        <w:tc>
          <w:tcPr>
            <w:tcW w:type="dxa" w:w="217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0.999979</w:t>
            </w:r>
          </w:p>
        </w:tc>
        <w:tc>
          <w:tcPr>
            <w:tcW w:type="dxa" w:w="33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to T0</w:t>
            </w:r>
          </w:p>
        </w:tc>
        <w:tc>
          <w:tcPr>
            <w:tcW w:type="dxa" w:w="16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w:t>
            </w:r>
          </w:p>
        </w:tc>
      </w:tr>
      <w:tr>
        <w:trPr>
          <w:cantSplit/>
        </w:trPr>
        <w:tc>
          <w:tcPr>
            <w:tcW w:type="dxa" w:w="100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5</w:t>
            </w:r>
          </w:p>
        </w:tc>
        <w:tc>
          <w:tcPr>
            <w:tcW w:type="dxa" w:w="20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w:t>
            </w:r>
          </w:p>
        </w:tc>
        <w:tc>
          <w:tcPr>
            <w:tcW w:type="dxa" w:w="217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0.889083</w:t>
            </w:r>
          </w:p>
        </w:tc>
        <w:tc>
          <w:tcPr>
            <w:tcW w:type="dxa" w:w="33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to T0</w:t>
            </w:r>
          </w:p>
        </w:tc>
        <w:tc>
          <w:tcPr>
            <w:tcW w:type="dxa" w:w="16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w:t>
            </w:r>
          </w:p>
        </w:tc>
      </w:tr>
      <w:tr>
        <w:trPr>
          <w:cantSplit/>
        </w:trPr>
        <w:tc>
          <w:tcPr>
            <w:tcW w:type="dxa" w:w="100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6</w:t>
            </w:r>
          </w:p>
        </w:tc>
        <w:tc>
          <w:tcPr>
            <w:tcW w:type="dxa" w:w="20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w:t>
            </w:r>
          </w:p>
        </w:tc>
        <w:tc>
          <w:tcPr>
            <w:tcW w:type="dxa" w:w="217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1.000000</w:t>
            </w:r>
          </w:p>
        </w:tc>
        <w:tc>
          <w:tcPr>
            <w:tcW w:type="dxa" w:w="33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to T0</w:t>
            </w:r>
          </w:p>
        </w:tc>
        <w:tc>
          <w:tcPr>
            <w:tcW w:type="dxa" w:w="16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Frame 3 contains a single codec ALLOCATE descriptor covering pages 0 to 6 in T2, followed by three APPLIED semantic corrections for the same generation. The final page records preserve T0 for pages 0, 5 and 6 and T2 for pages 1 to 4. Scores are normalized class-token attention proxies, not human-labeled importance.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8.7 Verification and evidence traceability</w:t>
      </w:r>
    </w:p>
    <w:p>
      <w:pPr>
        <w:pStyle w:val="BodyText"/>
        <w:keepNext w:val="0"/>
        <w:widowControl/>
        <w:spacing w:after="120" w:before="0" w:line="259" w:lineRule="auto"/>
        <w:ind w:left="0" w:right="0" w:firstLine="0"/>
      </w:pPr>
      <w:r>
        <w:rPr>
          <w:rFonts w:ascii="Times New Roman" w:hAnsi="Times New Roman"/>
          <w:b w:val="0"/>
          <w:color w:val="000000"/>
          <w:sz w:val="22"/>
        </w:rPr>
        <w:t>The optimized build passed 128 automated tests. The saved text report and JUnit XML record 128 passes and no failures. Tests cover controller behavior, adversarial ordering, semantic correction, geometry, actual tensor representations, model consumption, temporal reuse, encoded video, local HTTP streaming, and the simulated USB camera transport.</w:t>
      </w:r>
    </w:p>
    <w:tbl>
      <w:tblPr>
        <w:tblW w:type="auto" w:w="0"/>
        <w:tblLayout w:type="fixed"/>
        <w:tblLook w:firstColumn="1" w:firstRow="1" w:lastColumn="0" w:lastRow="0" w:noHBand="0" w:noVBand="1" w:val="04A0"/>
      </w:tblPr>
      <w:tblGrid>
        <w:gridCol w:w="5301"/>
        <w:gridCol w:w="4923"/>
      </w:tblGrid>
      <w:tr>
        <w:trPr>
          <w:cantSplit/>
          <w:tblHeader/>
        </w:trPr>
        <w:tc>
          <w:tcPr>
            <w:tcW w:type="dxa" w:w="530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Safety or correctness case</w:t>
            </w:r>
          </w:p>
        </w:tc>
        <w:tc>
          <w:tcPr>
            <w:tcW w:type="dxa" w:w="492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Evidence entry point</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Stale ownership, duplicate descriptors, reservation failure preservation</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tests/test_memory_generation.py and tests/test_race.py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Pixel crop bounds and exact indexed/oracle output equality</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tests/test_geometry.py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Quiet codec evidence with changed final-block features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tests/test_kv_reuse.py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Intra frames, missing metadata, generation gaps, age expiry</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tests/test_kv_reuse.py and tests/test_live.py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Actual fp16/int8/compressed tensor round trips and tier migration</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tests/test_tensor_store.py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Full model/decoder reuse and observed classifier comparison</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tests/test_video.py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USB transport cleanup and exclusive browser sessions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tests/test_phone.py and tests/test_dashboard_server.py</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randomized geometry regression includes mixed valid/invalid blocks, out-of-bounds rectangles, different tile counts, duplicate observations, page persistence, and full token/page equality. Raw compressed fp16 tests include scalar, empty, two-dimensional, and three-dimensional tensors. These checks support software behavior; they do not prove physical-device atomicity or formal RTL correctness.</w:t>
      </w:r>
    </w:p>
    <w:p>
      <w:pPr>
        <w:pStyle w:val="BodyText"/>
        <w:keepNext/>
        <w:widowControl/>
        <w:spacing w:after="120" w:before="120" w:line="259" w:lineRule="auto"/>
        <w:ind w:left="0" w:right="0" w:firstLine="0"/>
      </w:pPr>
      <w:r>
        <w:rPr>
          <w:rFonts w:ascii="Times New Roman" w:hAnsi="Times New Roman"/>
          <w:b/>
          <w:color w:val="000000"/>
          <w:sz w:val="22"/>
        </w:rPr>
        <w:t>Evidence package contents</w:t>
      </w:r>
    </w:p>
    <w:p>
      <w:pPr>
        <w:pStyle w:val="BodyText"/>
        <w:keepNext w:val="0"/>
        <w:widowControl/>
        <w:spacing w:after="120" w:before="0" w:line="259" w:lineRule="auto"/>
        <w:ind w:left="0" w:right="0" w:firstLine="0"/>
      </w:pPr>
      <w:r>
        <w:rPr>
          <w:rFonts w:ascii="Times New Roman" w:hAnsi="Times New Roman"/>
          <w:b w:val="0"/>
          <w:color w:val="000000"/>
          <w:sz w:val="22"/>
        </w:rPr>
        <w:t>MTR_KV_Evidence.zip contains the generated source video, full serial trace and evaluation, all six paired traces and their manifest, test text/XML, screenshots, the original supplied form, source/configuration snapshots, references and search record, and a SHA-256 manifest. A verification script checks hashes. Hashes identify local bytes and changes; they are not a trusted timestamp or independent certification.</w:t>
      </w:r>
    </w:p>
    <w:p>
      <w:pPr>
        <w:pStyle w:val="BodyText"/>
        <w:keepNext w:val="0"/>
        <w:widowControl/>
        <w:spacing w:after="120" w:before="0" w:line="259" w:lineRule="auto"/>
        <w:ind w:left="0" w:right="0" w:firstLine="0"/>
      </w:pPr>
      <w:r>
        <w:rPr>
          <w:rFonts w:ascii="Times New Roman" w:hAnsi="Times New Roman"/>
          <w:b w:val="0"/>
          <w:color w:val="000000"/>
          <w:sz w:val="22"/>
        </w:rPr>
        <w:t>The code snapshot includes uncommitted Python modules because the working tree was not clean. The package therefore preserves exact source bytes rather than implying that Git HEAD alone identifies this build. Environment versions and the dirty-tree state are recorded. The original frozen architecture remains a separate design record.</w:t>
      </w:r>
    </w:p>
    <w:p>
      <w:pPr>
        <w:pStyle w:val="BodyText"/>
        <w:keepNext w:val="0"/>
        <w:widowControl/>
        <w:spacing w:after="120" w:before="0" w:line="259" w:lineRule="auto"/>
        <w:ind w:left="0" w:right="0" w:firstLine="0"/>
      </w:pPr>
      <w:r>
        <w:rPr>
          <w:rFonts w:ascii="Times New Roman" w:hAnsi="Times New Roman"/>
          <w:b w:val="0"/>
          <w:color w:val="000000"/>
          <w:sz w:val="22"/>
        </w:rPr>
        <w:t>Selected behavior records are supplied as MTR_KV_Implementation_Records.json with the source trace path and SHA-256. The final document has been checked against those records. The underlying trace, paired comparisons, input and test reports are preserved in the existing evidence archive.</w:t>
      </w:r>
    </w:p>
    <w:p>
      <w:pPr>
        <w:pStyle w:val="BodyText"/>
        <w:keepNext/>
        <w:widowControl/>
        <w:spacing w:after="120" w:before="120" w:line="259" w:lineRule="auto"/>
        <w:ind w:left="0" w:right="0" w:firstLine="0"/>
      </w:pPr>
      <w:r>
        <w:rPr>
          <w:rFonts w:ascii="Times New Roman" w:hAnsi="Times New Roman"/>
          <w:b/>
          <w:color w:val="000000"/>
          <w:sz w:val="22"/>
        </w:rPr>
        <w:t>Implementation status and operating limits</w:t>
      </w:r>
    </w:p>
    <w:p>
      <w:pPr>
        <w:pStyle w:val="BodyText"/>
        <w:keepNext w:val="0"/>
        <w:widowControl/>
        <w:spacing w:after="120" w:before="0" w:line="259" w:lineRule="auto"/>
        <w:ind w:left="0" w:right="0" w:firstLine="0"/>
      </w:pPr>
      <w:r>
        <w:rPr>
          <w:rFonts w:ascii="Times New Roman" w:hAnsi="Times New Roman"/>
          <w:b w:val="0"/>
          <w:color w:val="000000"/>
          <w:sz w:val="22"/>
        </w:rPr>
        <w:t>The implemented scope is encoded video, actual final-block K/V consumption, generation checks, semantic correction, bounded reuse, a local dashboard and a software-tested Android USB adapter. A physical Android trial and scrcpy/ADB setup remain pending. Generic browser upload, arbitrary-codec success, all-layer VLM processing and real-time performance across devices are not established.</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8.8 Reproducing the demonstration</w:t>
      </w:r>
    </w:p>
    <w:p>
      <w:pPr>
        <w:pStyle w:val="BodyText"/>
        <w:keepNext/>
        <w:widowControl/>
        <w:spacing w:after="120" w:before="120" w:line="259" w:lineRule="auto"/>
        <w:ind w:left="0" w:right="0" w:firstLine="0"/>
      </w:pPr>
      <w:r>
        <w:rPr>
          <w:rFonts w:ascii="Times New Roman" w:hAnsi="Times New Roman"/>
          <w:b/>
          <w:color w:val="000000"/>
          <w:sz w:val="22"/>
        </w:rPr>
        <w:t>How to inspect the same behavior</w:t>
      </w:r>
    </w:p>
    <w:p>
      <w:pPr>
        <w:pStyle w:val="BodyText"/>
        <w:keepNext w:val="0"/>
        <w:widowControl/>
        <w:spacing w:after="20" w:before="0" w:line="259" w:lineRule="auto"/>
        <w:ind w:left="0" w:right="0" w:firstLine="0"/>
      </w:pPr>
      <w:r>
        <w:rPr>
          <w:rFonts w:ascii="Courier New" w:hAnsi="Courier New"/>
          <w:b w:val="0"/>
          <w:color w:val="000000"/>
          <w:sz w:val="18"/>
        </w:rPr>
        <w:t>.venv/bin/python -m mtr_kv dashboard results/demo.mp4 \</w:t>
      </w:r>
    </w:p>
    <w:p>
      <w:pPr>
        <w:pStyle w:val="BodyText"/>
        <w:keepNext w:val="0"/>
        <w:widowControl/>
        <w:spacing w:after="20" w:before="0" w:line="259" w:lineRule="auto"/>
        <w:ind w:left="0" w:right="0" w:firstLine="0"/>
      </w:pPr>
      <w:r>
        <w:rPr>
          <w:rFonts w:ascii="Courier New" w:hAnsi="Courier New"/>
          <w:b w:val="0"/>
          <w:color w:val="000000"/>
          <w:sz w:val="18"/>
        </w:rPr>
        <w:t xml:space="preserve">  --semantic-model --kv-inference --kv-reuse \</w:t>
      </w:r>
    </w:p>
    <w:p>
      <w:pPr>
        <w:pStyle w:val="BodyText"/>
        <w:keepNext w:val="0"/>
        <w:widowControl/>
        <w:spacing w:after="20" w:before="0" w:line="259" w:lineRule="auto"/>
        <w:ind w:left="0" w:right="0" w:firstLine="0"/>
      </w:pPr>
      <w:r>
        <w:rPr>
          <w:rFonts w:ascii="Courier New" w:hAnsi="Courier New"/>
          <w:b w:val="0"/>
          <w:color w:val="000000"/>
          <w:sz w:val="18"/>
        </w:rPr>
        <w:t xml:space="preserve">  --compare-baseline --max-frames 48 --port 8768</w:t>
      </w:r>
    </w:p>
    <w:p>
      <w:pPr>
        <w:pStyle w:val="BodyText"/>
        <w:keepNext w:val="0"/>
        <w:widowControl/>
        <w:spacing w:after="120" w:before="0" w:line="259" w:lineRule="auto"/>
        <w:ind w:left="0" w:right="0" w:firstLine="0"/>
      </w:pPr>
      <w:r>
        <w:rPr>
          <w:rFonts w:ascii="Times New Roman" w:hAnsi="Times New Roman"/>
          <w:b w:val="0"/>
          <w:color w:val="000000"/>
          <w:sz w:val="22"/>
        </w:rPr>
        <w:t>Open http://127.0.0.1:8768 and restart the run. Hover or focus a page tile to inspect its temporal state and activity. Load a simulator artifact separately only when comparing simulated strategies; it is not the source of the measured live cards.</w:t>
      </w:r>
    </w:p>
    <w:p>
      <w:pPr>
        <w:pStyle w:val="BodyText"/>
        <w:keepNext/>
        <w:widowControl/>
        <w:spacing w:after="120" w:before="120" w:line="259" w:lineRule="auto"/>
        <w:ind w:left="0" w:right="0" w:firstLine="0"/>
      </w:pPr>
      <w:r>
        <w:rPr>
          <w:rFonts w:ascii="Times New Roman" w:hAnsi="Times New Roman"/>
          <w:b/>
          <w:color w:val="000000"/>
          <w:sz w:val="22"/>
        </w:rPr>
        <w:t>Evidence locations and entry points</w:t>
      </w:r>
    </w:p>
    <w:tbl>
      <w:tblPr>
        <w:tblW w:type="auto" w:w="0"/>
        <w:tblLayout w:type="fixed"/>
        <w:tblLook w:firstColumn="1" w:firstRow="1" w:lastColumn="0" w:lastRow="0" w:noHBand="0" w:noVBand="1" w:val="04A0"/>
      </w:tblPr>
      <w:tblGrid>
        <w:gridCol w:w="4241"/>
        <w:gridCol w:w="5983"/>
      </w:tblGrid>
      <w:tr>
        <w:trPr>
          <w:cantSplit/>
          <w:tblHeader/>
        </w:trPr>
        <w:tc>
          <w:tcPr>
            <w:tcW w:type="dxa" w:w="424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9"/>
              </w:rPr>
              <w:t>Local evidence</w:t>
            </w:r>
          </w:p>
        </w:tc>
        <w:tc>
          <w:tcPr>
            <w:tcW w:type="dxa" w:w="598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9"/>
              </w:rPr>
              <w:t>Purpose</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paired-serial/manifest.json</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Input hash, settings, six trace hashes, per-run metrics, decision hashes, and median ratio.</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paired-serial/repeat-N-PATH.jsonl</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All raw measured frames from each paired run.</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full-demo-serial.jsonl and evaluation JSON</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Complete generated four-phase run and machine summary.</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test-results.txt and test-results.xml</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128 passing tests and machine-readable test outcomes.</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prototype-video-and-pages.png and prototype-reuse-trace.png</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Unmodified screenshots captured from the live local browser.</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source snapshot and manifest.json</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Exact Python, tests, configuration, frontend, requirements, and SHA-256 inventory.</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Measurements live under results/optimization-20261021 in the working project and are copied into the evidence archive. The verify_evidence.py script checks every listed SHA-256 digest after extraction. No network upload is required to inspect the prototype or evidence.</w:t>
      </w:r>
    </w:p>
    <w:p>
      <w:pPr>
        <w:pStyle w:val="BodyText"/>
        <w:keepNext w:val="0"/>
        <w:widowControl/>
        <w:spacing w:after="120" w:before="0" w:line="259" w:lineRule="auto"/>
        <w:ind w:left="0" w:right="0" w:firstLine="0"/>
      </w:pPr>
      <w:r>
        <w:rPr>
          <w:rFonts w:ascii="Times New Roman" w:hAnsi="Times New Roman"/>
          <w:b w:val="0"/>
          <w:color w:val="000000"/>
          <w:sz w:val="22"/>
        </w:rPr>
        <w:t>Source entry points: mtr_kv/mtre.py for reconciliation; controller.py for transactions; live.py for frame and correction coordination; tensor_store.py for actual K/V storage and rebinding; vision_feedback.py for preprocessing and attention integration; video.py for decoding and records. Reproduction requires the dependencies and cached or downloaded model weights.</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9 Aspects of the invention for which protection is sought</w:t>
      </w:r>
    </w:p>
    <w:p>
      <w:pPr>
        <w:pStyle w:val="BodyText"/>
        <w:keepNext w:val="0"/>
        <w:widowControl/>
        <w:spacing w:after="120" w:before="0" w:line="259" w:lineRule="auto"/>
        <w:ind w:left="0" w:right="0" w:firstLine="0"/>
      </w:pPr>
      <w:r>
        <w:rPr>
          <w:rFonts w:ascii="Times New Roman" w:hAnsi="Times New Roman"/>
          <w:b w:val="0"/>
          <w:color w:val="000000"/>
          <w:sz w:val="22"/>
        </w:rPr>
        <w:t>Protection is requested for the specific coordinated controller arrangement, subject to professional prior-art and enablement review. The following are technical topics for claim drafting, not final legal claims.</w:t>
      </w:r>
    </w:p>
    <w:p>
      <w:pPr>
        <w:pStyle w:val="BodyText"/>
        <w:keepNext/>
        <w:widowControl/>
        <w:spacing w:after="120" w:before="120" w:line="259" w:lineRule="auto"/>
        <w:ind w:left="0" w:right="0" w:firstLine="0"/>
      </w:pPr>
      <w:r>
        <w:rPr>
          <w:rFonts w:ascii="Times New Roman" w:hAnsi="Times New Roman"/>
          <w:b/>
          <w:color w:val="000000"/>
          <w:sz w:val="22"/>
        </w:rPr>
        <w:t>9.1 Coordinated codec intent readiness and correction</w:t>
      </w:r>
    </w:p>
    <w:p>
      <w:pPr>
        <w:pStyle w:val="BodyText"/>
        <w:keepNext w:val="0"/>
        <w:widowControl/>
        <w:spacing w:after="120" w:before="0" w:line="259" w:lineRule="auto"/>
        <w:ind w:left="0" w:right="0" w:firstLine="0"/>
      </w:pPr>
      <w:r>
        <w:rPr>
          <w:rFonts w:ascii="Times New Roman" w:hAnsi="Times New Roman"/>
          <w:b w:val="0"/>
          <w:color w:val="000000"/>
          <w:sz w:val="22"/>
        </w:rPr>
        <w:t>A processing system receives compressed-video change metadata before the relevant model attention; reconciles source regions with actual visual-token and page geometry; uses temporal and confidence state to issue a generation-tagged page-range and tier descriptor; validates, reserves, prepares, commits, and signals readiness before use; and applies later model-derived page-importance correction through the same generation-checked controller path.</w:t>
      </w:r>
    </w:p>
    <w:p>
      <w:pPr>
        <w:pStyle w:val="BodyText"/>
        <w:keepNext/>
        <w:widowControl/>
        <w:spacing w:after="120" w:before="120" w:line="259" w:lineRule="auto"/>
        <w:ind w:left="0" w:right="0" w:firstLine="0"/>
      </w:pPr>
      <w:r>
        <w:rPr>
          <w:rFonts w:ascii="Times New Roman" w:hAnsi="Times New Roman"/>
          <w:b/>
          <w:color w:val="000000"/>
          <w:sz w:val="22"/>
        </w:rPr>
        <w:t>9.2 Failure preservation and qualified temporal reuse</w:t>
      </w:r>
    </w:p>
    <w:p>
      <w:pPr>
        <w:pStyle w:val="BodyText"/>
        <w:keepNext w:val="0"/>
        <w:widowControl/>
        <w:spacing w:after="120" w:before="0" w:line="259" w:lineRule="auto"/>
        <w:ind w:left="0" w:right="0" w:firstLine="0"/>
      </w:pPr>
      <w:r>
        <w:rPr>
          <w:rFonts w:ascii="Times New Roman" w:hAnsi="Times New Roman"/>
          <w:b w:val="0"/>
          <w:color w:val="000000"/>
          <w:sz w:val="22"/>
        </w:rPr>
        <w:t>A method preserves the active mapping on failed replacement reservation, rejects stale or duplicate operations, and ties access to a current-generation readiness result. A temporal reuse method retains actual page K/V only when codec/temporal eligibility and exact model-input identity both hold, checks controller/model/geometry ownership and an origin-age bound, and rebinds retained content after the replacement generation is ready. Otherwise the page is recomputed.</w:t>
      </w:r>
    </w:p>
    <w:p>
      <w:pPr>
        <w:pStyle w:val="BodyText"/>
        <w:keepNext/>
        <w:widowControl/>
        <w:spacing w:after="120" w:before="120" w:line="259" w:lineRule="auto"/>
        <w:ind w:left="0" w:right="0" w:firstLine="0"/>
      </w:pPr>
      <w:r>
        <w:rPr>
          <w:rFonts w:ascii="Times New Roman" w:hAnsi="Times New Roman"/>
          <w:b/>
          <w:color w:val="000000"/>
          <w:sz w:val="22"/>
        </w:rPr>
        <w:t>9.3 Supporting geometry and generation relationships</w:t>
      </w:r>
    </w:p>
    <w:p>
      <w:pPr>
        <w:pStyle w:val="BodyText"/>
        <w:keepNext w:val="0"/>
        <w:widowControl/>
        <w:spacing w:after="120" w:before="0" w:line="259" w:lineRule="auto"/>
        <w:ind w:left="0" w:right="0" w:firstLine="0"/>
      </w:pPr>
      <w:r>
        <w:rPr>
          <w:rFonts w:ascii="Times New Roman" w:hAnsi="Times New Roman"/>
          <w:b w:val="0"/>
          <w:color w:val="000000"/>
          <w:sz w:val="22"/>
        </w:rPr>
        <w:t>Candidate dependent topics include inverse crop/resize mapping; conservative mixed-evidence aggregation; missing-metadata fallback; distinct confidence and activity signals; current-generation low-motion/high-attention promotion; page-span coalescing; explicit source and origin generations; and representation migration without age renewal. The implemented descriptors, predicates, failure cases, and measurements provide details for narrower drafting.</w:t>
      </w:r>
    </w:p>
    <w:p>
      <w:pPr>
        <w:pStyle w:val="BodyText"/>
        <w:keepNext/>
        <w:widowControl/>
        <w:spacing w:after="120" w:before="120" w:line="259" w:lineRule="auto"/>
        <w:ind w:left="0" w:right="0" w:firstLine="0"/>
      </w:pPr>
      <w:r>
        <w:rPr>
          <w:rFonts w:ascii="Times New Roman" w:hAnsi="Times New Roman"/>
          <w:b/>
          <w:color w:val="000000"/>
          <w:sz w:val="22"/>
        </w:rPr>
        <w:t>9.4 Technical boundary of the proposal</w:t>
      </w:r>
    </w:p>
    <w:p>
      <w:pPr>
        <w:pStyle w:val="BodyText"/>
        <w:keepNext w:val="0"/>
        <w:widowControl/>
        <w:spacing w:after="120" w:before="0" w:line="259" w:lineRule="auto"/>
        <w:ind w:left="0" w:right="0" w:firstLine="0"/>
      </w:pPr>
      <w:r>
        <w:rPr>
          <w:rFonts w:ascii="Times New Roman" w:hAnsi="Times New Roman"/>
          <w:b w:val="0"/>
          <w:color w:val="000000"/>
          <w:sz w:val="22"/>
        </w:rPr>
        <w:t>Motion vectors, thresholds, spatial indexing, paging, quantization, compression, attention-derived importance, generic transactions, and KV reuse are established techniques. The Android camera adapter, dashboard, compact serialization, and faster Python mapping are implementation conveniences, not the principal proposed invention. The searches reviewed here do not establish that the proposed combination is absent from earlier art or non-obvious.</w:t>
      </w:r>
    </w:p>
    <w:p>
      <w:pPr>
        <w:pStyle w:val="BodyText"/>
        <w:keepNext w:val="0"/>
        <w:widowControl/>
        <w:spacing w:after="120" w:before="0" w:line="259" w:lineRule="auto"/>
        <w:ind w:left="0" w:right="0" w:firstLine="0"/>
      </w:pPr>
      <w:r>
        <w:rPr>
          <w:rFonts w:ascii="Times New Roman" w:hAnsi="Times New Roman"/>
          <w:b w:val="0"/>
          <w:color w:val="000000"/>
          <w:sz w:val="22"/>
        </w:rPr>
        <w:t>Hardware media engines, asynchronous FIFOs, physical tier banks, GPU page-table publication, and all-layer VLM windows are proposed extensions. Their claim breadth requires a separately enabling design and inventor confirmation. A Python fence counter must not be described as a fabricated or tested hardware fence.</w:t>
      </w:r>
    </w:p>
    <w:p>
      <w:pPr>
        <w:pStyle w:val="BodyText"/>
        <w:keepNext/>
        <w:widowControl/>
        <w:spacing w:after="120" w:before="120" w:line="259" w:lineRule="auto"/>
        <w:ind w:left="0" w:right="0" w:firstLine="0"/>
      </w:pPr>
      <w:r>
        <w:rPr>
          <w:rFonts w:ascii="Times New Roman" w:hAnsi="Times New Roman"/>
          <w:b/>
          <w:color w:val="000000"/>
          <w:sz w:val="22"/>
        </w:rPr>
        <w:t>9.5 Relationship of the implemented evidence to the proposal</w:t>
      </w:r>
    </w:p>
    <w:p>
      <w:pPr>
        <w:pStyle w:val="BodyText"/>
        <w:keepNext w:val="0"/>
        <w:widowControl/>
        <w:spacing w:after="120" w:before="0" w:line="259" w:lineRule="auto"/>
        <w:ind w:left="0" w:right="0" w:firstLine="0"/>
      </w:pPr>
      <w:r>
        <w:rPr>
          <w:rFonts w:ascii="Times New Roman" w:hAnsi="Times New Roman"/>
          <w:b w:val="0"/>
          <w:color w:val="000000"/>
          <w:sz w:val="22"/>
        </w:rPr>
        <w:t>The software establishes a concrete embodiment of the control relationship: frame records show codec tier intent, a current-generation readiness result, actual stored tensor consumption and model-derived correction. Reuse provenance records source and origin generations separately. The examples and tests support narrower technical drafting; they do not determine whether a proposed claim is novel or non-obvious over the cited combinations.</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References and reviewed source locations</w:t>
      </w:r>
    </w:p>
    <w:p>
      <w:pPr>
        <w:pStyle w:val="BodyText"/>
        <w:keepNext w:val="0"/>
        <w:widowControl/>
        <w:spacing w:after="120" w:before="0" w:line="259" w:lineRule="auto"/>
        <w:ind w:left="0" w:right="0" w:firstLine="0"/>
      </w:pPr>
      <w:r>
        <w:rPr>
          <w:rFonts w:ascii="Times New Roman" w:hAnsi="Times New Roman"/>
          <w:b w:val="0"/>
          <w:color w:val="000000"/>
          <w:sz w:val="22"/>
        </w:rPr>
        <w:t>R1  Kwon et al. Efficient Memory Management for Large Language Model Serving with PagedAttention. arXiv:2309.06180v1, 12 Sep 2023; SOSP 2023. Methods sections 4.1-4.4.</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1">
        <w:r>
          <w:rPr>
            <w:rFonts w:ascii="Times New Roman" w:hAnsi="Times New Roman"/>
            <w:sz w:val="20"/>
          </w:rPr>
          <w:t>https://arxiv.org/html/2309.06180v1</w:t>
        </w:r>
      </w:hyperlink>
    </w:p>
    <w:p>
      <w:pPr>
        <w:pStyle w:val="BodyText"/>
        <w:keepNext w:val="0"/>
        <w:widowControl/>
        <w:spacing w:after="120" w:before="0" w:line="259" w:lineRule="auto"/>
        <w:ind w:left="0" w:right="0" w:firstLine="0"/>
      </w:pPr>
      <w:r>
        <w:rPr>
          <w:rFonts w:ascii="Times New Roman" w:hAnsi="Times New Roman"/>
          <w:b w:val="0"/>
          <w:color w:val="000000"/>
          <w:sz w:val="22"/>
        </w:rPr>
        <w:t>R2  Zou et al. CodecSight Leveraging Video Codec Signals for Efficient Streaming VLM Inference. arXiv:2604.06036v4, 15 Sep 2026; first submitted 7 Apr 2026. Sections 3.3-3.5.</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2">
        <w:r>
          <w:rPr>
            <w:rFonts w:ascii="Times New Roman" w:hAnsi="Times New Roman"/>
            <w:sz w:val="20"/>
          </w:rPr>
          <w:t>https://arxiv.org/html/2604.06036v4</w:t>
        </w:r>
      </w:hyperlink>
    </w:p>
    <w:p>
      <w:pPr>
        <w:pStyle w:val="BodyText"/>
        <w:keepNext w:val="0"/>
        <w:widowControl/>
        <w:spacing w:after="120" w:before="0" w:line="259" w:lineRule="auto"/>
        <w:ind w:left="0" w:right="0" w:firstLine="0"/>
      </w:pPr>
      <w:r>
        <w:rPr>
          <w:rFonts w:ascii="Times New Roman" w:hAnsi="Times New Roman"/>
          <w:b w:val="0"/>
          <w:color w:val="000000"/>
          <w:sz w:val="22"/>
        </w:rPr>
        <w:t>R3  Sarkar et al. CoPE-VideoLM Leveraging Codec Primitives For Efficient Video Language Modeling. arXiv:2602.13191v2, 30 Mar 2026; first submitted 13 Feb 2026. Section 3.</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3">
        <w:r>
          <w:rPr>
            <w:rFonts w:ascii="Times New Roman" w:hAnsi="Times New Roman"/>
            <w:sz w:val="20"/>
          </w:rPr>
          <w:t>https://arxiv.org/html/2602.13191v2</w:t>
        </w:r>
      </w:hyperlink>
    </w:p>
    <w:p>
      <w:pPr>
        <w:pStyle w:val="BodyText"/>
        <w:keepNext w:val="0"/>
        <w:widowControl/>
        <w:spacing w:after="120" w:before="0" w:line="259" w:lineRule="auto"/>
        <w:ind w:left="0" w:right="0" w:firstLine="0"/>
      </w:pPr>
      <w:r>
        <w:rPr>
          <w:rFonts w:ascii="Times New Roman" w:hAnsi="Times New Roman"/>
          <w:b w:val="0"/>
          <w:color w:val="000000"/>
          <w:sz w:val="22"/>
        </w:rPr>
        <w:t>R4  Zhang et al. RESUME Recurrent State Updates from Motion and Residual Signals for Efficient Video Language Modeling. arXiv:2609.39563v1, 30 Sep 2026. Section 3.</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4">
        <w:r>
          <w:rPr>
            <w:rFonts w:ascii="Times New Roman" w:hAnsi="Times New Roman"/>
            <w:sz w:val="20"/>
          </w:rPr>
          <w:t>https://arxiv.org/html/2609.39563v1</w:t>
        </w:r>
      </w:hyperlink>
    </w:p>
    <w:p>
      <w:pPr>
        <w:pStyle w:val="BodyText"/>
        <w:keepNext w:val="0"/>
        <w:widowControl/>
        <w:spacing w:after="120" w:before="0" w:line="259" w:lineRule="auto"/>
        <w:ind w:left="0" w:right="0" w:firstLine="0"/>
      </w:pPr>
      <w:r>
        <w:rPr>
          <w:rFonts w:ascii="Times New Roman" w:hAnsi="Times New Roman"/>
          <w:b w:val="0"/>
          <w:color w:val="000000"/>
          <w:sz w:val="22"/>
        </w:rPr>
        <w:t>R5  Zhang et al. H2O Heavy-Hitter Oracle for Efficient Generative Inference of Large Language Models. arXiv:2306.14048v3; first submitted 24 Jun 2023.</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5">
        <w:r>
          <w:rPr>
            <w:rFonts w:ascii="Times New Roman" w:hAnsi="Times New Roman"/>
            <w:sz w:val="20"/>
          </w:rPr>
          <w:t>https://arxiv.org/abs/2306.14048</w:t>
        </w:r>
      </w:hyperlink>
    </w:p>
    <w:p>
      <w:pPr>
        <w:pStyle w:val="BodyText"/>
        <w:keepNext w:val="0"/>
        <w:widowControl/>
        <w:spacing w:after="120" w:before="0" w:line="259" w:lineRule="auto"/>
        <w:ind w:left="0" w:right="0" w:firstLine="0"/>
      </w:pPr>
      <w:r>
        <w:rPr>
          <w:rFonts w:ascii="Times New Roman" w:hAnsi="Times New Roman"/>
          <w:b w:val="0"/>
          <w:color w:val="000000"/>
          <w:sz w:val="22"/>
        </w:rPr>
        <w:t>R6  Li et al. SnapKV LLM Knows What You are Looking for Before Generation. arXiv:2404.14469v2; first submitted 22 Apr 2024.</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6">
        <w:r>
          <w:rPr>
            <w:rFonts w:ascii="Times New Roman" w:hAnsi="Times New Roman"/>
            <w:sz w:val="20"/>
          </w:rPr>
          <w:t>https://arxiv.org/abs/2404.14469</w:t>
        </w:r>
      </w:hyperlink>
    </w:p>
    <w:p>
      <w:pPr>
        <w:pStyle w:val="BodyText"/>
        <w:keepNext w:val="0"/>
        <w:widowControl/>
        <w:spacing w:after="120" w:before="0" w:line="259" w:lineRule="auto"/>
        <w:ind w:left="0" w:right="0" w:firstLine="0"/>
      </w:pPr>
      <w:r>
        <w:rPr>
          <w:rFonts w:ascii="Times New Roman" w:hAnsi="Times New Roman"/>
          <w:b w:val="0"/>
          <w:color w:val="000000"/>
          <w:sz w:val="22"/>
        </w:rPr>
        <w:t>Source access date: 21 October 2026. Descriptions are paraphrases. Source performance numbers are not transferred to MTR-KV and are not used as proof of this prototype's performance.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References continued and disclosure record</w:t>
      </w:r>
    </w:p>
    <w:p>
      <w:pPr>
        <w:pStyle w:val="BodyText"/>
        <w:keepNext w:val="0"/>
        <w:widowControl/>
        <w:spacing w:after="120" w:before="0" w:line="259" w:lineRule="auto"/>
        <w:ind w:left="0" w:right="0" w:firstLine="0"/>
      </w:pPr>
      <w:r>
        <w:rPr>
          <w:rFonts w:ascii="Times New Roman" w:hAnsi="Times New Roman"/>
          <w:b w:val="0"/>
          <w:color w:val="000000"/>
          <w:sz w:val="22"/>
        </w:rPr>
        <w:t>R7  US6072548A. Video decoder dynamic memory allocation system and method allowing variable decoded image size. Published 6 Jun 2000.</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7">
        <w:r>
          <w:rPr>
            <w:rFonts w:ascii="Times New Roman" w:hAnsi="Times New Roman"/>
            <w:sz w:val="20"/>
          </w:rPr>
          <w:t>https://patents.google.com/patent/US6072548A/en</w:t>
        </w:r>
      </w:hyperlink>
    </w:p>
    <w:p>
      <w:pPr>
        <w:pStyle w:val="BodyText"/>
        <w:keepNext w:val="0"/>
        <w:widowControl/>
        <w:spacing w:after="120" w:before="0" w:line="259" w:lineRule="auto"/>
        <w:ind w:left="0" w:right="0" w:firstLine="0"/>
      </w:pPr>
      <w:r>
        <w:rPr>
          <w:rFonts w:ascii="Times New Roman" w:hAnsi="Times New Roman"/>
          <w:b w:val="0"/>
          <w:color w:val="000000"/>
          <w:sz w:val="22"/>
        </w:rPr>
        <w:t>R8  US20100098165A1 / US8300697B2. Dynamic motion vector analysis method. Published application 22 Apr 2010; grant publication 30 Oct 2012.</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8">
        <w:r>
          <w:rPr>
            <w:rFonts w:ascii="Times New Roman" w:hAnsi="Times New Roman"/>
            <w:sz w:val="20"/>
          </w:rPr>
          <w:t>https://patents.google.com/patent/US8300697B2/en</w:t>
        </w:r>
      </w:hyperlink>
    </w:p>
    <w:p>
      <w:pPr>
        <w:pStyle w:val="BodyText"/>
        <w:keepNext w:val="0"/>
        <w:widowControl/>
        <w:spacing w:after="120" w:before="0" w:line="259" w:lineRule="auto"/>
        <w:ind w:left="0" w:right="0" w:firstLine="0"/>
      </w:pPr>
      <w:r>
        <w:rPr>
          <w:rFonts w:ascii="Times New Roman" w:hAnsi="Times New Roman"/>
          <w:b w:val="0"/>
          <w:color w:val="000000"/>
          <w:sz w:val="22"/>
        </w:rPr>
        <w:t>R9  US20250124105A1. Efficient token pruning in transformer-based neural networks. Published 17 Apr 2025. Reviewed claim 1 and related description.</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9">
        <w:r>
          <w:rPr>
            <w:rFonts w:ascii="Times New Roman" w:hAnsi="Times New Roman"/>
            <w:sz w:val="20"/>
          </w:rPr>
          <w:t>https://patents.google.com/patent/US20250124105A1/en</w:t>
        </w:r>
      </w:hyperlink>
    </w:p>
    <w:p>
      <w:pPr>
        <w:pStyle w:val="BodyText"/>
        <w:keepNext w:val="0"/>
        <w:widowControl/>
        <w:spacing w:after="120" w:before="0" w:line="259" w:lineRule="auto"/>
        <w:ind w:left="0" w:right="0" w:firstLine="0"/>
      </w:pPr>
      <w:r>
        <w:rPr>
          <w:rFonts w:ascii="Times New Roman" w:hAnsi="Times New Roman"/>
          <w:b w:val="0"/>
          <w:color w:val="000000"/>
          <w:sz w:val="22"/>
        </w:rPr>
        <w:t>R10  US20250225134A1. Key-value cache management system for inference processes. Published 10 Jul 2025. Reviewed claim 1 and pointer/reservation description.</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0">
        <w:r>
          <w:rPr>
            <w:rFonts w:ascii="Times New Roman" w:hAnsi="Times New Roman"/>
            <w:sz w:val="20"/>
          </w:rPr>
          <w:t>https://patents.google.com/patent/US20250225134A1/en</w:t>
        </w:r>
      </w:hyperlink>
    </w:p>
    <w:p>
      <w:pPr>
        <w:pStyle w:val="BodyText"/>
        <w:keepNext w:val="0"/>
        <w:widowControl/>
        <w:spacing w:after="120" w:before="0" w:line="259" w:lineRule="auto"/>
        <w:ind w:left="0" w:right="0" w:firstLine="0"/>
      </w:pPr>
      <w:r>
        <w:rPr>
          <w:rFonts w:ascii="Times New Roman" w:hAnsi="Times New Roman"/>
          <w:b w:val="0"/>
          <w:color w:val="000000"/>
          <w:sz w:val="22"/>
        </w:rPr>
        <w:t>R11  US20260080217A1. Key-value cache compression based on gauge transformation. Published 19 Mar 2026. Reviewed claims 1-4 and hot/cold description.</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1">
        <w:r>
          <w:rPr>
            <w:rFonts w:ascii="Times New Roman" w:hAnsi="Times New Roman"/>
            <w:sz w:val="20"/>
          </w:rPr>
          <w:t>https://patents.google.com/patent/US20260080217A1/en</w:t>
        </w:r>
      </w:hyperlink>
    </w:p>
    <w:p>
      <w:pPr>
        <w:pStyle w:val="BodyText"/>
        <w:keepNext w:val="0"/>
        <w:widowControl/>
        <w:spacing w:after="120" w:before="0" w:line="259" w:lineRule="auto"/>
        <w:ind w:left="0" w:right="0" w:firstLine="0"/>
      </w:pPr>
      <w:r>
        <w:rPr>
          <w:rFonts w:ascii="Times New Roman" w:hAnsi="Times New Roman"/>
          <w:b w:val="0"/>
          <w:color w:val="000000"/>
          <w:sz w:val="22"/>
        </w:rPr>
        <w:t>R12  Indian Patents Act 1970, Section 10. Contents of specifications. Official IP India text, accessed 21 Oct 2026.</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2">
        <w:r>
          <w:rPr>
            <w:rFonts w:ascii="Times New Roman" w:hAnsi="Times New Roman"/>
            <w:sz w:val="20"/>
          </w:rPr>
          <w:t>https://ipindia.gov.in/acts/patent-act-1970/section-10</w:t>
        </w:r>
      </w:hyperlink>
    </w:p>
    <w:p>
      <w:pPr>
        <w:pStyle w:val="BodyText"/>
        <w:keepNext w:val="0"/>
        <w:widowControl/>
        <w:spacing w:after="120" w:before="0" w:line="259" w:lineRule="auto"/>
        <w:ind w:left="0" w:right="0" w:firstLine="0"/>
      </w:pPr>
      <w:r>
        <w:rPr>
          <w:rFonts w:ascii="Times New Roman" w:hAnsi="Times New Roman"/>
          <w:b w:val="0"/>
          <w:color w:val="000000"/>
          <w:sz w:val="22"/>
        </w:rPr>
        <w:t>R13  WIPO. Frequently Asked Questions on Patents, including novelty and public-disclosure timing. Accessed 21 Oct 2026.</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3">
        <w:r>
          <w:rPr>
            <w:rFonts w:ascii="Times New Roman" w:hAnsi="Times New Roman"/>
            <w:sz w:val="20"/>
          </w:rPr>
          <w:t>https://www.wipo.int/en/web/patents/faq_patents</w:t>
        </w:r>
      </w:hyperlink>
    </w:p>
    <w:p>
      <w:pPr>
        <w:pStyle w:val="BodyText"/>
        <w:keepNext w:val="0"/>
        <w:widowControl/>
        <w:spacing w:after="120" w:before="0" w:line="259" w:lineRule="auto"/>
        <w:ind w:left="0" w:right="0" w:firstLine="0"/>
      </w:pPr>
      <w:r>
        <w:rPr>
          <w:rFonts w:ascii="Times New Roman" w:hAnsi="Times New Roman"/>
          <w:b w:val="0"/>
          <w:color w:val="000000"/>
          <w:sz w:val="22"/>
        </w:rPr>
        <w:t>Search expressions: motion vector transformer KV cache page table; codec metadata descriptor memory controller attention; video decoder semantic cache correction generation; visual token page residency motion residual; KV cache generation motion controller; and attention-guided retention. No-result or broad-result queries are not treated as evidence that an element is absent from prior art.</w:t>
      </w:r>
    </w:p>
    <w:p>
      <w:pPr>
        <w:pStyle w:val="BodyText"/>
        <w:keepNext/>
        <w:widowControl/>
        <w:spacing w:after="120" w:before="120" w:line="259" w:lineRule="auto"/>
        <w:ind w:left="0" w:right="0" w:firstLine="0"/>
      </w:pPr>
      <w:r>
        <w:rPr>
          <w:rFonts w:ascii="Times New Roman" w:hAnsi="Times New Roman"/>
          <w:b/>
          <w:color w:val="000000"/>
          <w:sz w:val="22"/>
        </w:rPr>
        <w:t>Disclosure and contributors</w:t>
      </w:r>
    </w:p>
    <w:p>
      <w:pPr>
        <w:pStyle w:val="BodyText"/>
        <w:keepNext w:val="0"/>
        <w:widowControl/>
        <w:spacing w:after="120" w:before="0" w:line="259" w:lineRule="auto"/>
        <w:ind w:left="0" w:right="0" w:firstLine="0"/>
      </w:pPr>
      <w:r>
        <w:rPr>
          <w:rFonts w:ascii="Times New Roman" w:hAnsi="Times New Roman"/>
          <w:b w:val="0"/>
          <w:color w:val="000000"/>
          <w:sz w:val="22"/>
        </w:rPr>
        <w:t>The frozen architecture dated 22 September 2026 records Kunwar Shaurya Pratap Singh, Kanan Tayal and Suhani Gupta, B.Tech CSE AI and Data Engineering, VIT Vellore. Contributor names are a design record; legal inventorship, ownership and applicant details require confirmation. The user reported no known earlier public posting, presentation, submission or patent filing on 21 October 2026. Engineering dates and hashes are not patent priority dates.</w:t>
      </w:r>
    </w:p>
    <w:p>
      <w:pPr>
        <w:pStyle w:val="ListParagraph"/>
        <w:spacing w:after="0" w:line="240" w:lineRule="auto"/>
        <w:jc w:val="left"/>
        <w:rPr>
          <w:b/>
          <w:sz w:val="18"/>
        </w:rPr>
        <w:sectPr>
          <w:headerReference w:type="default" r:id="rId5"/>
          <w:type w:val="continuous"/>
          <w:pgSz w:w="11910" w:h="16840"/>
          <w:pgMar w:header="722" w:footer="0" w:top="960" w:bottom="280" w:left="992" w:right="566"/>
          <w:pgNumType w:start="1"/>
        </w:sectPr>
      </w:pPr>
    </w:p>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b/>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10 Technology readiness level of the invention</w:t>
      </w:r>
    </w:p>
    <w:p>
      <w:pPr>
        <w:pStyle w:val="BodyText"/>
        <w:keepNext w:val="0"/>
        <w:widowControl/>
        <w:spacing w:after="120" w:before="0" w:line="259" w:lineRule="auto"/>
        <w:ind w:left="0" w:right="0" w:firstLine="0"/>
      </w:pPr>
      <w:r>
        <w:rPr>
          <w:rFonts w:ascii="Times New Roman" w:hAnsi="Times New Roman"/>
          <w:b/>
          <w:color w:val="000000"/>
          <w:sz w:val="22"/>
        </w:rPr>
        <w:t>TRL 3 is selected for the demonstrated software mechanism as an experimental proof of concept. The executable prototype processes real encoded video, commits generation-safe page mappings, consumes actual tiered K/V tensors and applies semantic correction. Section 8 supplies the method, measurements, screenshots, frame witnesses and reproducibility records.</w:t>
      </w:r>
    </w:p>
    <w:p>
      <w:pPr>
        <w:pStyle w:val="BodyText"/>
        <w:keepNext w:val="0"/>
        <w:widowControl/>
        <w:spacing w:after="120" w:before="0" w:line="259" w:lineRule="auto"/>
        <w:ind w:left="0" w:right="0" w:firstLine="0"/>
      </w:pPr>
      <w:r>
        <w:rPr>
          <w:rFonts w:ascii="Times New Roman" w:hAnsi="Times New Roman"/>
          <w:b w:val="0"/>
          <w:color w:val="000000"/>
          <w:sz w:val="22"/>
        </w:rPr>
        <w:t>This self-assessment applies to the disclosed architecture as a whole. Some software components have local laboratory validation, but physical GPU/RTL integration, full VLM processing and physical-phone operation have not been demonstrated. A user interface alone is not the basis for the selection.</w:t>
      </w:r>
    </w:p>
    <w:p>
      <w:pPr>
        <w:pStyle w:val="BodyText"/>
        <w:keepNext w:val="0"/>
        <w:widowControl/>
        <w:spacing w:after="120" w:before="0" w:line="259" w:lineRule="auto"/>
        <w:ind w:left="0" w:right="0" w:firstLine="0"/>
      </w:pPr>
      <w:r>
        <w:rPr>
          <w:rFonts w:ascii="Times New Roman" w:hAnsi="Times New Roman"/>
          <w:b w:val="0"/>
          <w:color w:val="000000"/>
          <w:sz w:val="22"/>
        </w:rPr>
        <w:t>Evidence date: 21 October 2026. Scope: controlled CPU software proof of concept. Faculty certification is not asserted.</w:t>
      </w: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077"/>
        <w:gridCol w:w="1202"/>
        <w:gridCol w:w="1077"/>
        <w:gridCol w:w="1202"/>
        <w:gridCol w:w="1202"/>
        <w:gridCol w:w="1263"/>
        <w:gridCol w:w="929"/>
        <w:gridCol w:w="1282"/>
      </w:tblGrid>
      <w:tr>
        <w:trPr>
          <w:trHeight w:val="371" w:hRule="atLeast"/>
        </w:trPr>
        <w:tc>
          <w:tcPr>
            <w:tcW w:w="3215" w:type="dxa"/>
            <w:gridSpan w:val="3"/>
          </w:tcPr>
          <w:p>
            <w:pPr>
              <w:pStyle w:val="TableParagraph"/>
              <w:spacing w:before="59"/>
              <w:ind w:left="10"/>
              <w:rPr>
                <w:b/>
                <w:sz w:val="18"/>
              </w:rPr>
            </w:pPr>
            <w:r>
              <w:rPr>
                <w:b/>
                <w:spacing w:val="-2"/>
                <w:sz w:val="18"/>
              </w:rPr>
              <w:t>Research</w:t>
            </w:r>
          </w:p>
        </w:tc>
        <w:tc>
          <w:tcPr>
            <w:tcW w:w="3481" w:type="dxa"/>
            <w:gridSpan w:val="3"/>
          </w:tcPr>
          <w:p>
            <w:pPr>
              <w:pStyle w:val="TableParagraph"/>
              <w:spacing w:before="59"/>
              <w:ind w:left="11"/>
              <w:rPr>
                <w:b/>
                <w:sz w:val="18"/>
              </w:rPr>
            </w:pPr>
            <w:r>
              <w:rPr>
                <w:b/>
                <w:spacing w:val="-2"/>
                <w:sz w:val="18"/>
              </w:rPr>
              <w:t>Development</w:t>
            </w:r>
          </w:p>
        </w:tc>
        <w:tc>
          <w:tcPr>
            <w:tcW w:w="3474" w:type="dxa"/>
            <w:gridSpan w:val="3"/>
          </w:tcPr>
          <w:p>
            <w:pPr>
              <w:pStyle w:val="TableParagraph"/>
              <w:spacing w:before="59"/>
              <w:ind w:left="16"/>
              <w:rPr>
                <w:b/>
                <w:sz w:val="18"/>
              </w:rPr>
            </w:pPr>
            <w:r>
              <w:rPr>
                <w:b/>
                <w:spacing w:val="-2"/>
                <w:sz w:val="18"/>
              </w:rPr>
              <w:t>Deployment</w:t>
            </w:r>
          </w:p>
        </w:tc>
      </w:tr>
      <w:tr>
        <w:trPr>
          <w:trHeight w:val="373" w:hRule="atLeast"/>
        </w:trPr>
        <w:tc>
          <w:tcPr>
            <w:tcW w:w="936" w:type="dxa"/>
          </w:tcPr>
          <w:p>
            <w:pPr>
              <w:pStyle w:val="TableParagraph"/>
              <w:spacing w:before="59"/>
              <w:ind w:left="12" w:right="1"/>
              <w:rPr>
                <w:b/>
                <w:sz w:val="18"/>
              </w:rPr>
            </w:pPr>
            <w:r>
              <w:rPr>
                <w:b/>
                <w:sz w:val="18"/>
              </w:rPr>
              <w:t>TRL </w:t>
            </w:r>
            <w:r>
              <w:rPr>
                <w:b/>
                <w:spacing w:val="-10"/>
                <w:sz w:val="18"/>
              </w:rPr>
              <w:t>1</w:t>
            </w:r>
          </w:p>
        </w:tc>
        <w:tc>
          <w:tcPr>
            <w:tcW w:w="1077" w:type="dxa"/>
          </w:tcPr>
          <w:p>
            <w:pPr>
              <w:pStyle w:val="TableParagraph"/>
              <w:spacing w:before="59"/>
              <w:ind w:left="17" w:right="8"/>
              <w:rPr>
                <w:b/>
                <w:sz w:val="18"/>
              </w:rPr>
            </w:pPr>
            <w:r>
              <w:rPr>
                <w:b/>
                <w:sz w:val="18"/>
              </w:rPr>
              <w:t>TRL </w:t>
            </w:r>
            <w:r>
              <w:rPr>
                <w:b/>
                <w:spacing w:val="-10"/>
                <w:sz w:val="18"/>
              </w:rPr>
              <w:t>2</w:t>
            </w:r>
          </w:p>
        </w:tc>
        <w:tc>
          <w:tcPr>
            <w:tcW w:w="1202" w:type="dxa"/>
          </w:tcPr>
          <w:p>
            <w:pPr>
              <w:pStyle w:val="TableParagraph"/>
              <w:spacing w:before="59"/>
              <w:ind w:left="19" w:right="9"/>
              <w:rPr>
                <w:b/>
                <w:sz w:val="18"/>
              </w:rPr>
            </w:pPr>
            <w:r>
              <w:rPr>
                <w:b/>
                <w:sz w:val="18"/>
              </w:rPr>
              <w:t>TRL </w:t>
            </w:r>
            <w:r>
              <w:rPr>
                <w:b/>
                <w:spacing w:val="-10"/>
                <w:sz w:val="18"/>
              </w:rPr>
              <w:t>3</w:t>
            </w:r>
          </w:p>
        </w:tc>
        <w:tc>
          <w:tcPr>
            <w:tcW w:w="1077" w:type="dxa"/>
          </w:tcPr>
          <w:p>
            <w:pPr>
              <w:pStyle w:val="TableParagraph"/>
              <w:spacing w:before="59"/>
              <w:ind w:left="17" w:right="5"/>
              <w:rPr>
                <w:b/>
                <w:sz w:val="18"/>
              </w:rPr>
            </w:pPr>
            <w:r>
              <w:rPr>
                <w:b/>
                <w:sz w:val="18"/>
              </w:rPr>
              <w:t>TRL </w:t>
            </w:r>
            <w:r>
              <w:rPr>
                <w:b/>
                <w:spacing w:val="-10"/>
                <w:sz w:val="18"/>
              </w:rPr>
              <w:t>4</w:t>
            </w:r>
          </w:p>
        </w:tc>
        <w:tc>
          <w:tcPr>
            <w:tcW w:w="1202" w:type="dxa"/>
          </w:tcPr>
          <w:p>
            <w:pPr>
              <w:pStyle w:val="TableParagraph"/>
              <w:spacing w:before="59"/>
              <w:ind w:left="19" w:right="6"/>
              <w:rPr>
                <w:b/>
                <w:sz w:val="18"/>
              </w:rPr>
            </w:pPr>
            <w:r>
              <w:rPr>
                <w:b/>
                <w:sz w:val="18"/>
              </w:rPr>
              <w:t>TRL </w:t>
            </w:r>
            <w:r>
              <w:rPr>
                <w:b/>
                <w:spacing w:val="-10"/>
                <w:sz w:val="18"/>
              </w:rPr>
              <w:t>5</w:t>
            </w:r>
          </w:p>
        </w:tc>
        <w:tc>
          <w:tcPr>
            <w:tcW w:w="1202" w:type="dxa"/>
          </w:tcPr>
          <w:p>
            <w:pPr>
              <w:pStyle w:val="TableParagraph"/>
              <w:spacing w:before="59"/>
              <w:ind w:left="19" w:right="4"/>
              <w:rPr>
                <w:b/>
                <w:sz w:val="18"/>
              </w:rPr>
            </w:pPr>
            <w:r>
              <w:rPr>
                <w:b/>
                <w:sz w:val="18"/>
              </w:rPr>
              <w:t>TRL </w:t>
            </w:r>
            <w:r>
              <w:rPr>
                <w:b/>
                <w:spacing w:val="-10"/>
                <w:sz w:val="18"/>
              </w:rPr>
              <w:t>6</w:t>
            </w:r>
          </w:p>
        </w:tc>
        <w:tc>
          <w:tcPr>
            <w:tcW w:w="1263" w:type="dxa"/>
          </w:tcPr>
          <w:p>
            <w:pPr>
              <w:pStyle w:val="TableParagraph"/>
              <w:spacing w:before="59"/>
              <w:ind w:left="19" w:right="2"/>
              <w:rPr>
                <w:b/>
                <w:sz w:val="18"/>
              </w:rPr>
            </w:pPr>
            <w:r>
              <w:rPr>
                <w:b/>
                <w:sz w:val="18"/>
              </w:rPr>
              <w:t>TRL </w:t>
            </w:r>
            <w:r>
              <w:rPr>
                <w:b/>
                <w:spacing w:val="-10"/>
                <w:sz w:val="18"/>
              </w:rPr>
              <w:t>7</w:t>
            </w:r>
          </w:p>
        </w:tc>
        <w:tc>
          <w:tcPr>
            <w:tcW w:w="929" w:type="dxa"/>
          </w:tcPr>
          <w:p>
            <w:pPr>
              <w:pStyle w:val="TableParagraph"/>
              <w:spacing w:before="59"/>
              <w:ind w:left="17" w:right="2"/>
              <w:rPr>
                <w:b/>
                <w:sz w:val="18"/>
              </w:rPr>
            </w:pPr>
            <w:r>
              <w:rPr>
                <w:b/>
                <w:sz w:val="18"/>
              </w:rPr>
              <w:t>TRL </w:t>
            </w:r>
            <w:r>
              <w:rPr>
                <w:b/>
                <w:spacing w:val="-10"/>
                <w:sz w:val="18"/>
              </w:rPr>
              <w:t>8</w:t>
            </w:r>
          </w:p>
        </w:tc>
        <w:tc>
          <w:tcPr>
            <w:tcW w:w="1282" w:type="dxa"/>
          </w:tcPr>
          <w:p>
            <w:pPr>
              <w:pStyle w:val="TableParagraph"/>
              <w:spacing w:before="59"/>
              <w:ind w:left="16" w:right="4"/>
              <w:rPr>
                <w:b/>
                <w:sz w:val="18"/>
              </w:rPr>
            </w:pPr>
            <w:r>
              <w:rPr>
                <w:b/>
                <w:sz w:val="18"/>
              </w:rPr>
              <w:t>TRL </w:t>
            </w:r>
            <w:r>
              <w:rPr>
                <w:b/>
                <w:spacing w:val="-10"/>
                <w:sz w:val="18"/>
              </w:rPr>
              <w:t>9</w:t>
            </w:r>
          </w:p>
        </w:tc>
      </w:tr>
      <w:tr>
        <w:trPr>
          <w:trHeight w:val="317" w:hRule="atLeast"/>
        </w:trPr>
        <w:tc>
          <w:tcPr>
            <w:tcW w:w="936" w:type="dxa"/>
            <w:tcBorders>
              <w:bottom w:val="nil"/>
            </w:tcBorders>
          </w:tcPr>
          <w:p>
            <w:pPr>
              <w:pStyle w:val="TableParagraph"/>
              <w:spacing w:before="55"/>
              <w:ind w:left="12" w:right="1"/>
              <w:rPr>
                <w:sz w:val="18"/>
              </w:rPr>
            </w:pPr>
            <w:r>
              <w:rPr>
                <w:spacing w:val="-2"/>
                <w:sz w:val="18"/>
              </w:rPr>
              <w:t>Basic</w:t>
            </w:r>
          </w:p>
        </w:tc>
        <w:tc>
          <w:tcPr>
            <w:tcW w:w="1077" w:type="dxa"/>
            <w:tcBorders>
              <w:bottom w:val="nil"/>
            </w:tcBorders>
          </w:tcPr>
          <w:p>
            <w:pPr>
              <w:pStyle w:val="TableParagraph"/>
              <w:spacing w:before="55"/>
              <w:ind w:left="17" w:right="4"/>
              <w:rPr>
                <w:sz w:val="18"/>
              </w:rPr>
            </w:pPr>
            <w:r>
              <w:rPr>
                <w:spacing w:val="-2"/>
                <w:sz w:val="18"/>
              </w:rPr>
              <w:t>Technology</w:t>
            </w:r>
          </w:p>
        </w:tc>
        <w:tc>
          <w:tcPr>
            <w:tcW w:w="1202" w:type="dxa"/>
            <w:tcBorders>
              <w:bottom w:val="nil"/>
            </w:tcBorders>
          </w:tcPr>
          <w:p>
            <w:pPr>
              <w:pStyle w:val="TableParagraph"/>
              <w:spacing w:before="55"/>
              <w:ind w:left="19" w:right="10"/>
              <w:rPr>
                <w:sz w:val="18"/>
              </w:rPr>
            </w:pPr>
            <w:r>
              <w:rPr>
                <w:spacing w:val="-2"/>
                <w:sz w:val="18"/>
              </w:rPr>
              <w:t>Experimental</w:t>
            </w:r>
          </w:p>
        </w:tc>
        <w:tc>
          <w:tcPr>
            <w:tcW w:w="1077" w:type="dxa"/>
            <w:tcBorders>
              <w:bottom w:val="nil"/>
            </w:tcBorders>
          </w:tcPr>
          <w:p>
            <w:pPr>
              <w:pStyle w:val="TableParagraph"/>
              <w:spacing w:before="55"/>
              <w:ind w:left="17"/>
              <w:rPr>
                <w:sz w:val="18"/>
              </w:rPr>
            </w:pPr>
            <w:r>
              <w:rPr>
                <w:spacing w:val="-2"/>
                <w:sz w:val="18"/>
              </w:rPr>
              <w:t>Technology</w:t>
            </w:r>
          </w:p>
        </w:tc>
        <w:tc>
          <w:tcPr>
            <w:tcW w:w="1202" w:type="dxa"/>
            <w:tcBorders>
              <w:bottom w:val="nil"/>
            </w:tcBorders>
          </w:tcPr>
          <w:p>
            <w:pPr>
              <w:pStyle w:val="TableParagraph"/>
              <w:spacing w:before="55"/>
              <w:ind w:left="19" w:right="1"/>
              <w:rPr>
                <w:sz w:val="18"/>
              </w:rPr>
            </w:pPr>
            <w:r>
              <w:rPr>
                <w:spacing w:val="-2"/>
                <w:sz w:val="18"/>
              </w:rPr>
              <w:t>Technology</w:t>
            </w:r>
          </w:p>
        </w:tc>
        <w:tc>
          <w:tcPr>
            <w:tcW w:w="1202" w:type="dxa"/>
            <w:tcBorders>
              <w:bottom w:val="nil"/>
            </w:tcBorders>
          </w:tcPr>
          <w:p>
            <w:pPr>
              <w:pStyle w:val="TableParagraph"/>
              <w:spacing w:before="55"/>
              <w:ind w:left="19"/>
              <w:rPr>
                <w:sz w:val="18"/>
              </w:rPr>
            </w:pPr>
            <w:r>
              <w:rPr>
                <w:spacing w:val="-2"/>
                <w:sz w:val="18"/>
              </w:rPr>
              <w:t>Technology</w:t>
            </w:r>
          </w:p>
        </w:tc>
        <w:tc>
          <w:tcPr>
            <w:tcW w:w="1263" w:type="dxa"/>
            <w:tcBorders>
              <w:bottom w:val="nil"/>
            </w:tcBorders>
          </w:tcPr>
          <w:p>
            <w:pPr>
              <w:pStyle w:val="TableParagraph"/>
              <w:spacing w:before="55"/>
              <w:ind w:left="19"/>
              <w:rPr>
                <w:sz w:val="18"/>
              </w:rPr>
            </w:pPr>
            <w:r>
              <w:rPr>
                <w:spacing w:val="-2"/>
                <w:sz w:val="18"/>
              </w:rPr>
              <w:t>System</w:t>
            </w:r>
          </w:p>
        </w:tc>
        <w:tc>
          <w:tcPr>
            <w:tcW w:w="929" w:type="dxa"/>
            <w:tcBorders>
              <w:bottom w:val="nil"/>
            </w:tcBorders>
          </w:tcPr>
          <w:p>
            <w:pPr>
              <w:pStyle w:val="TableParagraph"/>
              <w:spacing w:before="55"/>
              <w:ind w:left="17"/>
              <w:rPr>
                <w:sz w:val="18"/>
              </w:rPr>
            </w:pPr>
            <w:r>
              <w:rPr>
                <w:spacing w:val="-2"/>
                <w:sz w:val="18"/>
              </w:rPr>
              <w:t>System</w:t>
            </w:r>
          </w:p>
        </w:tc>
        <w:tc>
          <w:tcPr>
            <w:tcW w:w="1282" w:type="dxa"/>
            <w:tcBorders>
              <w:bottom w:val="nil"/>
            </w:tcBorders>
          </w:tcPr>
          <w:p>
            <w:pPr>
              <w:pStyle w:val="TableParagraph"/>
              <w:spacing w:before="55"/>
              <w:ind w:left="16" w:right="2"/>
              <w:rPr>
                <w:sz w:val="18"/>
              </w:rPr>
            </w:pPr>
            <w:r>
              <w:rPr>
                <w:sz w:val="18"/>
              </w:rPr>
              <w:t>Actual</w:t>
            </w:r>
            <w:r>
              <w:rPr>
                <w:spacing w:val="-6"/>
                <w:sz w:val="18"/>
              </w:rPr>
              <w:t> </w:t>
            </w:r>
            <w:r>
              <w:rPr>
                <w:spacing w:val="-2"/>
                <w:sz w:val="18"/>
              </w:rPr>
              <w:t>system</w:t>
            </w:r>
          </w:p>
        </w:tc>
      </w:tr>
      <w:tr>
        <w:trPr>
          <w:trHeight w:val="311" w:hRule="atLeast"/>
        </w:trPr>
        <w:tc>
          <w:tcPr>
            <w:tcW w:w="936" w:type="dxa"/>
            <w:tcBorders>
              <w:top w:val="nil"/>
              <w:bottom w:val="nil"/>
            </w:tcBorders>
          </w:tcPr>
          <w:p>
            <w:pPr>
              <w:pStyle w:val="TableParagraph"/>
              <w:spacing w:before="47"/>
              <w:ind w:left="12"/>
              <w:rPr>
                <w:sz w:val="18"/>
              </w:rPr>
            </w:pPr>
            <w:r>
              <w:rPr>
                <w:spacing w:val="-2"/>
                <w:sz w:val="18"/>
              </w:rPr>
              <w:t>Principles</w:t>
            </w:r>
          </w:p>
        </w:tc>
        <w:tc>
          <w:tcPr>
            <w:tcW w:w="1077" w:type="dxa"/>
            <w:tcBorders>
              <w:top w:val="nil"/>
              <w:bottom w:val="nil"/>
            </w:tcBorders>
          </w:tcPr>
          <w:p>
            <w:pPr>
              <w:pStyle w:val="TableParagraph"/>
              <w:spacing w:before="47"/>
              <w:ind w:left="17" w:right="10"/>
              <w:rPr>
                <w:sz w:val="18"/>
              </w:rPr>
            </w:pPr>
            <w:r>
              <w:rPr>
                <w:spacing w:val="-2"/>
                <w:sz w:val="18"/>
              </w:rPr>
              <w:t>concept</w:t>
            </w:r>
          </w:p>
        </w:tc>
        <w:tc>
          <w:tcPr>
            <w:tcW w:w="1202" w:type="dxa"/>
            <w:tcBorders>
              <w:top w:val="nil"/>
              <w:bottom w:val="nil"/>
            </w:tcBorders>
          </w:tcPr>
          <w:p>
            <w:pPr>
              <w:pStyle w:val="TableParagraph"/>
              <w:spacing w:before="47"/>
              <w:ind w:left="19" w:right="6"/>
              <w:rPr>
                <w:sz w:val="18"/>
              </w:rPr>
            </w:pPr>
            <w:r>
              <w:rPr>
                <w:sz w:val="18"/>
              </w:rPr>
              <w:t>proof</w:t>
            </w:r>
            <w:r>
              <w:rPr>
                <w:spacing w:val="-2"/>
                <w:sz w:val="18"/>
              </w:rPr>
              <w:t> </w:t>
            </w:r>
            <w:r>
              <w:rPr>
                <w:spacing w:val="-5"/>
                <w:sz w:val="18"/>
              </w:rPr>
              <w:t>of</w:t>
            </w:r>
          </w:p>
        </w:tc>
        <w:tc>
          <w:tcPr>
            <w:tcW w:w="1077" w:type="dxa"/>
            <w:tcBorders>
              <w:top w:val="nil"/>
              <w:bottom w:val="nil"/>
            </w:tcBorders>
          </w:tcPr>
          <w:p>
            <w:pPr>
              <w:pStyle w:val="TableParagraph"/>
              <w:spacing w:before="47"/>
              <w:ind w:left="17" w:right="6"/>
              <w:rPr>
                <w:sz w:val="18"/>
              </w:rPr>
            </w:pPr>
            <w:r>
              <w:rPr>
                <w:sz w:val="18"/>
              </w:rPr>
              <w:t>validated</w:t>
            </w:r>
            <w:r>
              <w:rPr>
                <w:spacing w:val="-2"/>
                <w:sz w:val="18"/>
              </w:rPr>
              <w:t> </w:t>
            </w:r>
            <w:r>
              <w:rPr>
                <w:spacing w:val="-5"/>
                <w:sz w:val="18"/>
              </w:rPr>
              <w:t>in</w:t>
            </w:r>
          </w:p>
        </w:tc>
        <w:tc>
          <w:tcPr>
            <w:tcW w:w="1202" w:type="dxa"/>
            <w:tcBorders>
              <w:top w:val="nil"/>
              <w:bottom w:val="nil"/>
            </w:tcBorders>
          </w:tcPr>
          <w:p>
            <w:pPr>
              <w:pStyle w:val="TableParagraph"/>
              <w:spacing w:before="47"/>
              <w:ind w:left="19" w:right="5"/>
              <w:rPr>
                <w:sz w:val="18"/>
              </w:rPr>
            </w:pPr>
            <w:r>
              <w:rPr>
                <w:sz w:val="18"/>
              </w:rPr>
              <w:t>validated</w:t>
            </w:r>
            <w:r>
              <w:rPr>
                <w:spacing w:val="-3"/>
                <w:sz w:val="18"/>
              </w:rPr>
              <w:t> </w:t>
            </w:r>
            <w:r>
              <w:rPr>
                <w:sz w:val="18"/>
              </w:rPr>
              <w:t>in </w:t>
            </w:r>
            <w:r>
              <w:rPr>
                <w:spacing w:val="-10"/>
                <w:sz w:val="18"/>
              </w:rPr>
              <w:t>a</w:t>
            </w:r>
          </w:p>
        </w:tc>
        <w:tc>
          <w:tcPr>
            <w:tcW w:w="1202" w:type="dxa"/>
            <w:tcBorders>
              <w:top w:val="nil"/>
              <w:bottom w:val="nil"/>
            </w:tcBorders>
          </w:tcPr>
          <w:p>
            <w:pPr>
              <w:pStyle w:val="TableParagraph"/>
              <w:spacing w:before="47"/>
              <w:ind w:left="19" w:right="6"/>
              <w:rPr>
                <w:sz w:val="18"/>
              </w:rPr>
            </w:pPr>
            <w:r>
              <w:rPr>
                <w:spacing w:val="-2"/>
                <w:sz w:val="18"/>
              </w:rPr>
              <w:t>demonstrated</w:t>
            </w:r>
          </w:p>
        </w:tc>
        <w:tc>
          <w:tcPr>
            <w:tcW w:w="1263" w:type="dxa"/>
            <w:tcBorders>
              <w:top w:val="nil"/>
              <w:bottom w:val="nil"/>
            </w:tcBorders>
          </w:tcPr>
          <w:p>
            <w:pPr>
              <w:pStyle w:val="TableParagraph"/>
              <w:spacing w:before="47"/>
              <w:ind w:left="19" w:right="5"/>
              <w:rPr>
                <w:sz w:val="18"/>
              </w:rPr>
            </w:pPr>
            <w:r>
              <w:rPr>
                <w:spacing w:val="-2"/>
                <w:sz w:val="18"/>
              </w:rPr>
              <w:t>prototype</w:t>
            </w:r>
          </w:p>
        </w:tc>
        <w:tc>
          <w:tcPr>
            <w:tcW w:w="929" w:type="dxa"/>
            <w:tcBorders>
              <w:top w:val="nil"/>
              <w:bottom w:val="nil"/>
            </w:tcBorders>
          </w:tcPr>
          <w:p>
            <w:pPr>
              <w:pStyle w:val="TableParagraph"/>
              <w:spacing w:before="47"/>
              <w:ind w:left="17" w:right="3"/>
              <w:rPr>
                <w:sz w:val="18"/>
              </w:rPr>
            </w:pPr>
            <w:r>
              <w:rPr>
                <w:spacing w:val="-2"/>
                <w:sz w:val="18"/>
              </w:rPr>
              <w:t>complete</w:t>
            </w:r>
          </w:p>
        </w:tc>
        <w:tc>
          <w:tcPr>
            <w:tcW w:w="1282" w:type="dxa"/>
            <w:tcBorders>
              <w:top w:val="nil"/>
              <w:bottom w:val="nil"/>
            </w:tcBorders>
          </w:tcPr>
          <w:p>
            <w:pPr>
              <w:pStyle w:val="TableParagraph"/>
              <w:spacing w:before="47"/>
              <w:ind w:left="16" w:right="7"/>
              <w:rPr>
                <w:sz w:val="18"/>
              </w:rPr>
            </w:pPr>
            <w:r>
              <w:rPr>
                <w:sz w:val="18"/>
              </w:rPr>
              <w:t>proven</w:t>
            </w:r>
            <w:r>
              <w:rPr>
                <w:spacing w:val="-3"/>
                <w:sz w:val="18"/>
              </w:rPr>
              <w:t> </w:t>
            </w:r>
            <w:r>
              <w:rPr>
                <w:sz w:val="18"/>
              </w:rPr>
              <w:t>in </w:t>
            </w:r>
            <w:r>
              <w:rPr>
                <w:spacing w:val="-5"/>
                <w:sz w:val="18"/>
              </w:rPr>
              <w:t>an</w:t>
            </w:r>
          </w:p>
        </w:tc>
      </w:tr>
      <w:tr>
        <w:trPr>
          <w:trHeight w:val="311" w:hRule="atLeast"/>
        </w:trPr>
        <w:tc>
          <w:tcPr>
            <w:tcW w:w="936" w:type="dxa"/>
            <w:tcBorders>
              <w:top w:val="nil"/>
              <w:bottom w:val="nil"/>
            </w:tcBorders>
          </w:tcPr>
          <w:p>
            <w:pPr>
              <w:pStyle w:val="TableParagraph"/>
              <w:spacing w:before="49"/>
              <w:ind w:left="12" w:right="7"/>
              <w:rPr>
                <w:sz w:val="18"/>
              </w:rPr>
            </w:pPr>
            <w:r>
              <w:rPr>
                <w:spacing w:val="-2"/>
                <w:sz w:val="18"/>
              </w:rPr>
              <w:t>observed</w:t>
            </w:r>
          </w:p>
        </w:tc>
        <w:tc>
          <w:tcPr>
            <w:tcW w:w="1077" w:type="dxa"/>
            <w:tcBorders>
              <w:top w:val="nil"/>
              <w:bottom w:val="nil"/>
            </w:tcBorders>
          </w:tcPr>
          <w:p>
            <w:pPr>
              <w:pStyle w:val="TableParagraph"/>
              <w:spacing w:before="49"/>
              <w:ind w:left="17" w:right="8"/>
              <w:rPr>
                <w:sz w:val="18"/>
              </w:rPr>
            </w:pPr>
            <w:r>
              <w:rPr>
                <w:spacing w:val="-2"/>
                <w:sz w:val="18"/>
              </w:rPr>
              <w:t>formulated</w:t>
            </w:r>
          </w:p>
        </w:tc>
        <w:tc>
          <w:tcPr>
            <w:tcW w:w="1202" w:type="dxa"/>
            <w:tcBorders>
              <w:top w:val="nil"/>
              <w:bottom w:val="nil"/>
            </w:tcBorders>
          </w:tcPr>
          <w:p>
            <w:pPr>
              <w:pStyle w:val="TableParagraph"/>
              <w:spacing w:before="49"/>
              <w:ind w:left="19" w:right="6"/>
              <w:rPr>
                <w:sz w:val="18"/>
              </w:rPr>
            </w:pPr>
            <w:r>
              <w:rPr>
                <w:spacing w:val="-2"/>
                <w:sz w:val="18"/>
              </w:rPr>
              <w:t>concept</w:t>
            </w:r>
          </w:p>
        </w:tc>
        <w:tc>
          <w:tcPr>
            <w:tcW w:w="1077" w:type="dxa"/>
            <w:tcBorders>
              <w:top w:val="nil"/>
              <w:bottom w:val="nil"/>
            </w:tcBorders>
          </w:tcPr>
          <w:p>
            <w:pPr>
              <w:pStyle w:val="TableParagraph"/>
              <w:spacing w:before="49"/>
              <w:ind w:left="17" w:right="7"/>
              <w:rPr>
                <w:sz w:val="18"/>
              </w:rPr>
            </w:pPr>
            <w:r>
              <w:rPr>
                <w:sz w:val="18"/>
              </w:rPr>
              <w:t>a</w:t>
            </w:r>
            <w:r>
              <w:rPr>
                <w:spacing w:val="-1"/>
                <w:sz w:val="18"/>
              </w:rPr>
              <w:t> </w:t>
            </w:r>
            <w:r>
              <w:rPr>
                <w:spacing w:val="-5"/>
                <w:sz w:val="18"/>
              </w:rPr>
              <w:t>lab</w:t>
            </w:r>
          </w:p>
        </w:tc>
        <w:tc>
          <w:tcPr>
            <w:tcW w:w="1202" w:type="dxa"/>
            <w:tcBorders>
              <w:top w:val="nil"/>
              <w:bottom w:val="nil"/>
            </w:tcBorders>
          </w:tcPr>
          <w:p>
            <w:pPr>
              <w:pStyle w:val="TableParagraph"/>
              <w:spacing w:before="49"/>
              <w:ind w:left="19" w:right="5"/>
              <w:rPr>
                <w:sz w:val="18"/>
              </w:rPr>
            </w:pPr>
            <w:r>
              <w:rPr>
                <w:spacing w:val="-2"/>
                <w:sz w:val="18"/>
              </w:rPr>
              <w:t>relevant</w:t>
            </w:r>
          </w:p>
        </w:tc>
        <w:tc>
          <w:tcPr>
            <w:tcW w:w="1202" w:type="dxa"/>
            <w:tcBorders>
              <w:top w:val="nil"/>
              <w:bottom w:val="nil"/>
            </w:tcBorders>
          </w:tcPr>
          <w:p>
            <w:pPr>
              <w:pStyle w:val="TableParagraph"/>
              <w:spacing w:before="49"/>
              <w:ind w:left="19" w:right="4"/>
              <w:rPr>
                <w:sz w:val="18"/>
              </w:rPr>
            </w:pPr>
            <w:r>
              <w:rPr>
                <w:sz w:val="18"/>
              </w:rPr>
              <w:t>in</w:t>
            </w:r>
            <w:r>
              <w:rPr>
                <w:spacing w:val="1"/>
                <w:sz w:val="18"/>
              </w:rPr>
              <w:t> </w:t>
            </w:r>
            <w:r>
              <w:rPr>
                <w:sz w:val="18"/>
              </w:rPr>
              <w:t>a</w:t>
            </w:r>
            <w:r>
              <w:rPr>
                <w:spacing w:val="-1"/>
                <w:sz w:val="18"/>
              </w:rPr>
              <w:t> </w:t>
            </w:r>
            <w:r>
              <w:rPr>
                <w:spacing w:val="-2"/>
                <w:sz w:val="18"/>
              </w:rPr>
              <w:t>relevant</w:t>
            </w:r>
          </w:p>
        </w:tc>
        <w:tc>
          <w:tcPr>
            <w:tcW w:w="1263" w:type="dxa"/>
            <w:tcBorders>
              <w:top w:val="nil"/>
              <w:bottom w:val="nil"/>
            </w:tcBorders>
          </w:tcPr>
          <w:p>
            <w:pPr>
              <w:pStyle w:val="TableParagraph"/>
              <w:spacing w:before="49"/>
              <w:ind w:left="19" w:right="5"/>
              <w:rPr>
                <w:sz w:val="18"/>
              </w:rPr>
            </w:pPr>
            <w:r>
              <w:rPr>
                <w:spacing w:val="-2"/>
                <w:sz w:val="18"/>
              </w:rPr>
              <w:t>demonstration</w:t>
            </w:r>
          </w:p>
        </w:tc>
        <w:tc>
          <w:tcPr>
            <w:tcW w:w="929" w:type="dxa"/>
            <w:tcBorders>
              <w:top w:val="nil"/>
              <w:bottom w:val="nil"/>
            </w:tcBorders>
          </w:tcPr>
          <w:p>
            <w:pPr>
              <w:pStyle w:val="TableParagraph"/>
              <w:spacing w:before="49"/>
              <w:ind w:left="17" w:right="7"/>
              <w:rPr>
                <w:sz w:val="18"/>
              </w:rPr>
            </w:pPr>
            <w:r>
              <w:rPr>
                <w:spacing w:val="-5"/>
                <w:sz w:val="18"/>
              </w:rPr>
              <w:t>and</w:t>
            </w:r>
          </w:p>
        </w:tc>
        <w:tc>
          <w:tcPr>
            <w:tcW w:w="1282" w:type="dxa"/>
            <w:tcBorders>
              <w:top w:val="nil"/>
              <w:bottom w:val="nil"/>
            </w:tcBorders>
          </w:tcPr>
          <w:p>
            <w:pPr>
              <w:pStyle w:val="TableParagraph"/>
              <w:spacing w:before="49"/>
              <w:ind w:left="16" w:right="6"/>
              <w:rPr>
                <w:sz w:val="18"/>
              </w:rPr>
            </w:pPr>
            <w:r>
              <w:rPr>
                <w:spacing w:val="-2"/>
                <w:sz w:val="18"/>
              </w:rPr>
              <w:t>operational</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5"/>
              <w:rPr>
                <w:sz w:val="18"/>
              </w:rPr>
            </w:pPr>
            <w:r>
              <w:rPr>
                <w:spacing w:val="-2"/>
                <w:sz w:val="18"/>
              </w:rPr>
              <w:t>environment</w:t>
            </w:r>
          </w:p>
        </w:tc>
        <w:tc>
          <w:tcPr>
            <w:tcW w:w="1202" w:type="dxa"/>
            <w:tcBorders>
              <w:top w:val="nil"/>
              <w:bottom w:val="nil"/>
            </w:tcBorders>
          </w:tcPr>
          <w:p>
            <w:pPr>
              <w:pStyle w:val="TableParagraph"/>
              <w:spacing w:before="47"/>
              <w:ind w:left="19" w:right="4"/>
              <w:rPr>
                <w:sz w:val="18"/>
              </w:rPr>
            </w:pPr>
            <w:r>
              <w:rPr>
                <w:spacing w:val="-2"/>
                <w:sz w:val="18"/>
              </w:rPr>
              <w:t>environment</w:t>
            </w:r>
          </w:p>
        </w:tc>
        <w:tc>
          <w:tcPr>
            <w:tcW w:w="1263" w:type="dxa"/>
            <w:tcBorders>
              <w:top w:val="nil"/>
              <w:bottom w:val="nil"/>
            </w:tcBorders>
          </w:tcPr>
          <w:p>
            <w:pPr>
              <w:pStyle w:val="TableParagraph"/>
              <w:spacing w:before="47"/>
              <w:ind w:left="19" w:right="7"/>
              <w:rPr>
                <w:sz w:val="18"/>
              </w:rPr>
            </w:pPr>
            <w:r>
              <w:rPr>
                <w:sz w:val="18"/>
              </w:rPr>
              <w:t>in</w:t>
            </w:r>
            <w:r>
              <w:rPr>
                <w:spacing w:val="1"/>
                <w:sz w:val="18"/>
              </w:rPr>
              <w:t> </w:t>
            </w:r>
            <w:r>
              <w:rPr>
                <w:spacing w:val="-5"/>
                <w:sz w:val="18"/>
              </w:rPr>
              <w:t>an</w:t>
            </w:r>
          </w:p>
        </w:tc>
        <w:tc>
          <w:tcPr>
            <w:tcW w:w="929" w:type="dxa"/>
            <w:tcBorders>
              <w:top w:val="nil"/>
              <w:bottom w:val="nil"/>
            </w:tcBorders>
          </w:tcPr>
          <w:p>
            <w:pPr>
              <w:pStyle w:val="TableParagraph"/>
              <w:spacing w:before="47"/>
              <w:ind w:left="17" w:right="7"/>
              <w:rPr>
                <w:sz w:val="18"/>
              </w:rPr>
            </w:pPr>
            <w:r>
              <w:rPr>
                <w:spacing w:val="-2"/>
                <w:sz w:val="18"/>
              </w:rPr>
              <w:t>qualified</w:t>
            </w:r>
          </w:p>
        </w:tc>
        <w:tc>
          <w:tcPr>
            <w:tcW w:w="1282" w:type="dxa"/>
            <w:tcBorders>
              <w:top w:val="nil"/>
              <w:bottom w:val="nil"/>
            </w:tcBorders>
          </w:tcPr>
          <w:p>
            <w:pPr>
              <w:pStyle w:val="TableParagraph"/>
              <w:spacing w:before="47"/>
              <w:ind w:left="16" w:right="4"/>
              <w:rPr>
                <w:sz w:val="18"/>
              </w:rPr>
            </w:pPr>
            <w:r>
              <w:rPr>
                <w:spacing w:val="-2"/>
                <w:sz w:val="18"/>
              </w:rPr>
              <w:t>environment</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pacing w:val="-2"/>
                <w:sz w:val="18"/>
              </w:rPr>
              <w:t>(industrially</w:t>
            </w:r>
          </w:p>
        </w:tc>
        <w:tc>
          <w:tcPr>
            <w:tcW w:w="1202" w:type="dxa"/>
            <w:tcBorders>
              <w:top w:val="nil"/>
              <w:bottom w:val="nil"/>
            </w:tcBorders>
          </w:tcPr>
          <w:p>
            <w:pPr>
              <w:pStyle w:val="TableParagraph"/>
              <w:spacing w:before="47"/>
              <w:ind w:left="19" w:right="2"/>
              <w:rPr>
                <w:sz w:val="18"/>
              </w:rPr>
            </w:pPr>
            <w:r>
              <w:rPr>
                <w:spacing w:val="-2"/>
                <w:sz w:val="18"/>
              </w:rPr>
              <w:t>(industrially</w:t>
            </w:r>
          </w:p>
        </w:tc>
        <w:tc>
          <w:tcPr>
            <w:tcW w:w="1263" w:type="dxa"/>
            <w:tcBorders>
              <w:top w:val="nil"/>
              <w:bottom w:val="nil"/>
            </w:tcBorders>
          </w:tcPr>
          <w:p>
            <w:pPr>
              <w:pStyle w:val="TableParagraph"/>
              <w:spacing w:before="47"/>
              <w:ind w:left="19" w:right="4"/>
              <w:rPr>
                <w:sz w:val="18"/>
              </w:rPr>
            </w:pPr>
            <w:r>
              <w:rPr>
                <w:spacing w:val="-2"/>
                <w:sz w:val="18"/>
              </w:rPr>
              <w:t>operational</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5"/>
              <w:rPr>
                <w:sz w:val="18"/>
              </w:rPr>
            </w:pPr>
            <w:r>
              <w:rPr>
                <w:spacing w:val="-2"/>
                <w:sz w:val="18"/>
              </w:rPr>
              <w:t>(competitive</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7"/>
              <w:rPr>
                <w:sz w:val="18"/>
              </w:rPr>
            </w:pPr>
            <w:r>
              <w:rPr>
                <w:sz w:val="18"/>
              </w:rPr>
              <w:t>relevant</w:t>
            </w:r>
            <w:r>
              <w:rPr>
                <w:spacing w:val="-3"/>
                <w:sz w:val="18"/>
              </w:rPr>
              <w:t> </w:t>
            </w:r>
            <w:r>
              <w:rPr>
                <w:spacing w:val="-5"/>
                <w:sz w:val="18"/>
              </w:rPr>
              <w:t>in</w:t>
            </w:r>
          </w:p>
        </w:tc>
        <w:tc>
          <w:tcPr>
            <w:tcW w:w="1202" w:type="dxa"/>
            <w:tcBorders>
              <w:top w:val="nil"/>
              <w:bottom w:val="nil"/>
            </w:tcBorders>
          </w:tcPr>
          <w:p>
            <w:pPr>
              <w:pStyle w:val="TableParagraph"/>
              <w:spacing w:before="48"/>
              <w:ind w:left="19" w:right="5"/>
              <w:rPr>
                <w:sz w:val="18"/>
              </w:rPr>
            </w:pPr>
            <w:r>
              <w:rPr>
                <w:sz w:val="18"/>
              </w:rPr>
              <w:t>relevant</w:t>
            </w:r>
            <w:r>
              <w:rPr>
                <w:spacing w:val="-3"/>
                <w:sz w:val="18"/>
              </w:rPr>
              <w:t> </w:t>
            </w:r>
            <w:r>
              <w:rPr>
                <w:spacing w:val="-5"/>
                <w:sz w:val="18"/>
              </w:rPr>
              <w:t>in</w:t>
            </w:r>
          </w:p>
        </w:tc>
        <w:tc>
          <w:tcPr>
            <w:tcW w:w="1263" w:type="dxa"/>
            <w:tcBorders>
              <w:top w:val="nil"/>
              <w:bottom w:val="nil"/>
            </w:tcBorders>
          </w:tcPr>
          <w:p>
            <w:pPr>
              <w:pStyle w:val="TableParagraph"/>
              <w:spacing w:before="48"/>
              <w:ind w:left="19" w:right="6"/>
              <w:rPr>
                <w:sz w:val="18"/>
              </w:rPr>
            </w:pPr>
            <w:r>
              <w:rPr>
                <w:spacing w:val="-2"/>
                <w:sz w:val="18"/>
              </w:rPr>
              <w:t>environment</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manufacturing</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z w:val="18"/>
              </w:rPr>
              <w:t>case</w:t>
            </w:r>
            <w:r>
              <w:rPr>
                <w:spacing w:val="-2"/>
                <w:sz w:val="18"/>
              </w:rPr>
              <w:t> </w:t>
            </w:r>
            <w:r>
              <w:rPr>
                <w:sz w:val="18"/>
              </w:rPr>
              <w:t>of </w:t>
            </w:r>
            <w:r>
              <w:rPr>
                <w:spacing w:val="-5"/>
                <w:sz w:val="18"/>
              </w:rPr>
              <w:t>key</w:t>
            </w:r>
          </w:p>
        </w:tc>
        <w:tc>
          <w:tcPr>
            <w:tcW w:w="1202" w:type="dxa"/>
            <w:tcBorders>
              <w:top w:val="nil"/>
              <w:bottom w:val="nil"/>
            </w:tcBorders>
          </w:tcPr>
          <w:p>
            <w:pPr>
              <w:pStyle w:val="TableParagraph"/>
              <w:spacing w:before="47"/>
              <w:ind w:left="19" w:right="2"/>
              <w:rPr>
                <w:sz w:val="18"/>
              </w:rPr>
            </w:pPr>
            <w:r>
              <w:rPr>
                <w:sz w:val="18"/>
              </w:rPr>
              <w:t>case</w:t>
            </w:r>
            <w:r>
              <w:rPr>
                <w:spacing w:val="-2"/>
                <w:sz w:val="18"/>
              </w:rPr>
              <w:t> </w:t>
            </w:r>
            <w:r>
              <w:rPr>
                <w:sz w:val="18"/>
              </w:rPr>
              <w:t>of </w:t>
            </w:r>
            <w:r>
              <w:rPr>
                <w:spacing w:val="-5"/>
                <w:sz w:val="18"/>
              </w:rPr>
              <w:t>key</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Pr>
                <w:sz w:val="18"/>
              </w:rPr>
            </w:pPr>
            <w:r>
              <w:rPr>
                <w:sz w:val="18"/>
              </w:rPr>
              <w:t>in case</w:t>
            </w:r>
            <w:r>
              <w:rPr>
                <w:spacing w:val="-1"/>
                <w:sz w:val="18"/>
              </w:rPr>
              <w:t> </w:t>
            </w:r>
            <w:r>
              <w:rPr>
                <w:sz w:val="18"/>
              </w:rPr>
              <w:t>of</w:t>
            </w:r>
            <w:r>
              <w:rPr>
                <w:spacing w:val="-2"/>
                <w:sz w:val="18"/>
              </w:rPr>
              <w:t> </w:t>
            </w:r>
            <w:r>
              <w:rPr>
                <w:spacing w:val="-5"/>
                <w:sz w:val="18"/>
              </w:rPr>
              <w:t>key</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4"/>
              <w:rPr>
                <w:sz w:val="18"/>
              </w:rPr>
            </w:pPr>
            <w:r>
              <w:rPr>
                <w:spacing w:val="-2"/>
                <w:sz w:val="18"/>
              </w:rPr>
              <w:t>enabling</w:t>
            </w:r>
          </w:p>
        </w:tc>
        <w:tc>
          <w:tcPr>
            <w:tcW w:w="1202" w:type="dxa"/>
            <w:tcBorders>
              <w:top w:val="nil"/>
              <w:bottom w:val="nil"/>
            </w:tcBorders>
          </w:tcPr>
          <w:p>
            <w:pPr>
              <w:pStyle w:val="TableParagraph"/>
              <w:spacing w:before="48"/>
              <w:ind w:left="19" w:right="2"/>
              <w:rPr>
                <w:sz w:val="18"/>
              </w:rPr>
            </w:pPr>
            <w:r>
              <w:rPr>
                <w:spacing w:val="-2"/>
                <w:sz w:val="18"/>
              </w:rPr>
              <w:t>enabling</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enabling</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7"/>
              <w:rPr>
                <w:sz w:val="18"/>
              </w:rPr>
            </w:pPr>
            <w:r>
              <w:rPr>
                <w:spacing w:val="-2"/>
                <w:sz w:val="18"/>
              </w:rPr>
              <w:t>technologies)</w:t>
            </w:r>
          </w:p>
        </w:tc>
        <w:tc>
          <w:tcPr>
            <w:tcW w:w="1202" w:type="dxa"/>
            <w:tcBorders>
              <w:top w:val="nil"/>
              <w:bottom w:val="nil"/>
            </w:tcBorders>
          </w:tcPr>
          <w:p>
            <w:pPr>
              <w:pStyle w:val="TableParagraph"/>
              <w:spacing w:before="47"/>
              <w:ind w:left="19" w:right="6"/>
              <w:rPr>
                <w:sz w:val="18"/>
              </w:rPr>
            </w:pPr>
            <w:r>
              <w:rPr>
                <w:spacing w:val="-2"/>
                <w:sz w:val="18"/>
              </w:rPr>
              <w:t>technologies)</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6"/>
              <w:rPr>
                <w:sz w:val="18"/>
              </w:rPr>
            </w:pPr>
            <w:r>
              <w:rPr>
                <w:spacing w:val="-2"/>
                <w:sz w:val="18"/>
              </w:rPr>
              <w:t>technologies,</w:t>
            </w:r>
          </w:p>
        </w:tc>
      </w:tr>
      <w:tr>
        <w:trPr>
          <w:trHeight w:val="659" w:hRule="atLeast"/>
        </w:trPr>
        <w:tc>
          <w:tcPr>
            <w:tcW w:w="936"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63" w:type="dxa"/>
            <w:tcBorders>
              <w:top w:val="nil"/>
            </w:tcBorders>
          </w:tcPr>
          <w:p>
            <w:pPr>
              <w:pStyle w:val="TableParagraph"/>
              <w:jc w:val="left"/>
              <w:rPr>
                <w:sz w:val="18"/>
              </w:rPr>
            </w:pPr>
          </w:p>
        </w:tc>
        <w:tc>
          <w:tcPr>
            <w:tcW w:w="929" w:type="dxa"/>
            <w:tcBorders>
              <w:top w:val="nil"/>
            </w:tcBorders>
          </w:tcPr>
          <w:p>
            <w:pPr>
              <w:pStyle w:val="TableParagraph"/>
              <w:jc w:val="left"/>
              <w:rPr>
                <w:sz w:val="18"/>
              </w:rPr>
            </w:pPr>
          </w:p>
        </w:tc>
        <w:tc>
          <w:tcPr>
            <w:tcW w:w="1282" w:type="dxa"/>
            <w:tcBorders>
              <w:top w:val="nil"/>
            </w:tcBorders>
          </w:tcPr>
          <w:p>
            <w:pPr>
              <w:pStyle w:val="TableParagraph"/>
              <w:spacing w:before="47"/>
              <w:ind w:left="16" w:right="4"/>
              <w:rPr>
                <w:sz w:val="18"/>
              </w:rPr>
            </w:pPr>
            <w:r>
              <w:rPr>
                <w:sz w:val="18"/>
              </w:rPr>
              <w:t>or</w:t>
            </w:r>
            <w:r>
              <w:rPr>
                <w:spacing w:val="-1"/>
                <w:sz w:val="18"/>
              </w:rPr>
              <w:t> </w:t>
            </w:r>
            <w:r>
              <w:rPr>
                <w:sz w:val="18"/>
              </w:rPr>
              <w:t>in</w:t>
            </w:r>
            <w:r>
              <w:rPr>
                <w:spacing w:val="-1"/>
                <w:sz w:val="18"/>
              </w:rPr>
              <w:t> </w:t>
            </w:r>
            <w:r>
              <w:rPr>
                <w:sz w:val="18"/>
              </w:rPr>
              <w:t>space</w:t>
            </w:r>
            <w:r>
              <w:rPr>
                <w:spacing w:val="-1"/>
                <w:sz w:val="18"/>
              </w:rPr>
              <w:t> </w:t>
            </w:r>
            <w:r>
              <w:rPr>
                <w:spacing w:val="-10"/>
                <w:sz w:val="18"/>
              </w:rPr>
              <w:t>)</w:t>
            </w:r>
          </w:p>
        </w:tc>
      </w:tr>
      <w:tr>
        <w:trPr>
          <w:trHeight w:val="751" w:hRule="atLeast"/>
        </w:trPr>
        <w:tc>
          <w:tcPr>
            <w:tcW w:w="936" w:type="dxa"/>
          </w:tcPr>
          <w:p>
            <w:pPr>
              <w:pStyle w:val="TableParagraph"/>
              <w:jc w:val="left"/>
              <w:rPr>
                <w:sz w:val="18"/>
              </w:rPr>
            </w:pPr>
          </w:p>
        </w:tc>
        <w:tc>
          <w:tcPr>
            <w:tcW w:w="1077" w:type="dxa"/>
          </w:tcPr>
          <w:p>
            <w:pPr>
              <w:pStyle w:val="TableParagraph"/>
              <w:jc w:val="left"/>
              <w:rPr>
                <w:sz w:val="18"/>
              </w:rPr>
            </w:pPr>
          </w:p>
        </w:tc>
        <w:tc>
          <w:tcPr>
            <w:tcW w:w="1202" w:type="dxa"/>
          </w:tcPr>
          <w:p>
            <w:pPr>
              <w:pStyle w:val="TableParagraph"/>
              <w:jc w:val="center"/>
              <w:rPr>
                <w:sz w:val="18"/>
              </w:rPr>
            </w:pPr>
            <w:r>
              <w:rPr>
                <w:rFonts w:ascii="Times New Roman" w:hAnsi="Times New Roman"/>
                <w:b/>
                <w:sz w:val="20"/>
              </w:rPr>
              <w:t>[X]</w:t>
            </w:r>
          </w:p>
        </w:tc>
        <w:tc>
          <w:tcPr>
            <w:tcW w:w="1077" w:type="dxa"/>
          </w:tcPr>
          <w:p>
            <w:pPr>
              <w:pStyle w:val="TableParagraph"/>
              <w:jc w:val="left"/>
              <w:rPr>
                <w:sz w:val="18"/>
              </w:rPr>
            </w:pPr>
          </w:p>
        </w:tc>
        <w:tc>
          <w:tcPr>
            <w:tcW w:w="1202" w:type="dxa"/>
          </w:tcPr>
          <w:p>
            <w:pPr>
              <w:pStyle w:val="TableParagraph"/>
              <w:jc w:val="left"/>
              <w:rPr>
                <w:sz w:val="18"/>
              </w:rPr>
            </w:pPr>
          </w:p>
        </w:tc>
        <w:tc>
          <w:tcPr>
            <w:tcW w:w="1202" w:type="dxa"/>
          </w:tcPr>
          <w:p>
            <w:pPr>
              <w:pStyle w:val="TableParagraph"/>
              <w:jc w:val="left"/>
              <w:rPr>
                <w:sz w:val="18"/>
              </w:rPr>
            </w:pPr>
          </w:p>
        </w:tc>
        <w:tc>
          <w:tcPr>
            <w:tcW w:w="1263" w:type="dxa"/>
          </w:tcPr>
          <w:p>
            <w:pPr>
              <w:pStyle w:val="TableParagraph"/>
              <w:jc w:val="left"/>
              <w:rPr>
                <w:sz w:val="18"/>
              </w:rPr>
            </w:pPr>
          </w:p>
        </w:tc>
        <w:tc>
          <w:tcPr>
            <w:tcW w:w="929" w:type="dxa"/>
          </w:tcPr>
          <w:p>
            <w:pPr>
              <w:pStyle w:val="TableParagraph"/>
              <w:jc w:val="left"/>
              <w:rPr>
                <w:sz w:val="18"/>
              </w:rPr>
            </w:pPr>
          </w:p>
        </w:tc>
        <w:tc>
          <w:tcPr>
            <w:tcW w:w="1282" w:type="dxa"/>
          </w:tcPr>
          <w:p>
            <w:pPr>
              <w:pStyle w:val="TableParagraph"/>
              <w:jc w:val="left"/>
              <w:rPr>
                <w:sz w:val="18"/>
              </w:rPr>
            </w:pPr>
          </w:p>
        </w:tc>
      </w:tr>
    </w:tbl>
    <w:p>
      <w:pPr>
        <w:pStyle w:val="BodyText"/>
        <w:keepNext w:val="0"/>
        <w:widowControl/>
        <w:spacing w:after="120" w:before="0" w:line="259" w:lineRule="auto"/>
        <w:ind w:left="0" w:right="0" w:firstLine="0"/>
      </w:pPr>
      <w:r>
        <w:rPr>
          <w:rFonts w:ascii="Times New Roman" w:hAnsi="Times New Roman"/>
          <w:b w:val="0"/>
          <w:color w:val="000000"/>
          <w:sz w:val="22"/>
        </w:rPr>
        <w:t>Selected column: TRL 3. Inventor contributions, institutional rights, prior-disclosure history and final claim scope should be confirmed with VIT IPR and TT Cell before submission. The present record is an invention disclosure for review; it does not constitute a patent-office filing.</w:t>
      </w:r>
    </w:p>
    <w:p>
      <w:pPr>
        <w:pStyle w:val="BodyText"/>
        <w:keepNext/>
        <w:widowControl/>
        <w:spacing w:after="120" w:before="120" w:line="259" w:lineRule="auto"/>
        <w:ind w:left="0" w:right="0" w:firstLine="0"/>
      </w:pPr>
      <w:r>
        <w:rPr>
          <w:rFonts w:ascii="Times New Roman" w:hAnsi="Times New Roman"/>
          <w:b/>
          <w:color w:val="000000"/>
          <w:sz w:val="22"/>
        </w:rPr>
        <w:t>END OF THE DOCUMENT</w:t>
      </w:r>
    </w:p>
    <w:sectPr>
      <w:pgSz w:w="11910" w:h="16840"/>
      <w:pgMar w:header="722" w:footer="0" w:top="960" w:bottom="2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40032">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7140" cy="180975"/>
                      </a:xfrm>
                      <a:prstGeom prst="rect">
                        <a:avLst/>
                      </a:prstGeom>
                    </wps:spPr>
                    <wps:txbx>
                      <w:txbxContent>
                        <w:p>
                          <w:pPr>
                            <w:spacing w:before="11"/>
                            <w:ind w:left="20" w:right="0" w:firstLine="0"/>
                            <w:jc w:val="left"/>
                            <w:rPr>
                              <w:sz w:val="22"/>
                            </w:rPr>
                          </w:pPr>
                          <w:r>
                            <w:rPr>
                              <w:sz w:val="22"/>
                            </w:rPr>
                            <w:t>©VIT</w:t>
                          </w:r>
                          <w:r>
                            <w:rPr>
                              <w:spacing w:val="-2"/>
                              <w:sz w:val="22"/>
                            </w:rPr>
                            <w:t> IPR&amp;TTCELL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80001pt;margin-top:35.122093pt;width:98.2pt;height:14.25pt;mso-position-horizontal-relative:page;mso-position-vertical-relative:page;z-index:-15976448" type="#_x0000_t202" id="docshape1" filled="false" stroked="false">
              <v:textbox inset="0,0,0,0">
                <w:txbxContent>
                  <w:p>
                    <w:pPr>
                      <w:spacing w:before="11"/>
                      <w:ind w:left="20" w:right="0" w:firstLine="0"/>
                      <w:jc w:val="left"/>
                      <w:rPr>
                        <w:sz w:val="22"/>
                      </w:rPr>
                    </w:pPr>
                    <w:r>
                      <w:rPr>
                        <w:sz w:val="22"/>
                      </w:rPr>
                      <w:t>©VIT</w:t>
                    </w:r>
                    <w:r>
                      <w:rPr>
                        <w:spacing w:val="-2"/>
                        <w:sz w:val="22"/>
                      </w:rPr>
                      <w:t> IPR&amp;TTCELL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7" w:hanging="182"/>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268" w:hanging="182"/>
      </w:pPr>
      <w:rPr>
        <w:rFonts w:hint="default"/>
        <w:lang w:val="en-US" w:eastAsia="en-US" w:bidi="ar-SA"/>
      </w:rPr>
    </w:lvl>
    <w:lvl w:ilvl="2">
      <w:start w:val="0"/>
      <w:numFmt w:val="bullet"/>
      <w:lvlText w:val="•"/>
      <w:lvlJc w:val="left"/>
      <w:pPr>
        <w:ind w:left="2277" w:hanging="182"/>
      </w:pPr>
      <w:rPr>
        <w:rFonts w:hint="default"/>
        <w:lang w:val="en-US" w:eastAsia="en-US" w:bidi="ar-SA"/>
      </w:rPr>
    </w:lvl>
    <w:lvl w:ilvl="3">
      <w:start w:val="0"/>
      <w:numFmt w:val="bullet"/>
      <w:lvlText w:val="•"/>
      <w:lvlJc w:val="left"/>
      <w:pPr>
        <w:ind w:left="3286" w:hanging="182"/>
      </w:pPr>
      <w:rPr>
        <w:rFonts w:hint="default"/>
        <w:lang w:val="en-US" w:eastAsia="en-US" w:bidi="ar-SA"/>
      </w:rPr>
    </w:lvl>
    <w:lvl w:ilvl="4">
      <w:start w:val="0"/>
      <w:numFmt w:val="bullet"/>
      <w:lvlText w:val="•"/>
      <w:lvlJc w:val="left"/>
      <w:pPr>
        <w:ind w:left="4295" w:hanging="182"/>
      </w:pPr>
      <w:rPr>
        <w:rFonts w:hint="default"/>
        <w:lang w:val="en-US" w:eastAsia="en-US" w:bidi="ar-SA"/>
      </w:rPr>
    </w:lvl>
    <w:lvl w:ilvl="5">
      <w:start w:val="0"/>
      <w:numFmt w:val="bullet"/>
      <w:lvlText w:val="•"/>
      <w:lvlJc w:val="left"/>
      <w:pPr>
        <w:ind w:left="5304" w:hanging="182"/>
      </w:pPr>
      <w:rPr>
        <w:rFonts w:hint="default"/>
        <w:lang w:val="en-US" w:eastAsia="en-US" w:bidi="ar-SA"/>
      </w:rPr>
    </w:lvl>
    <w:lvl w:ilvl="6">
      <w:start w:val="0"/>
      <w:numFmt w:val="bullet"/>
      <w:lvlText w:val="•"/>
      <w:lvlJc w:val="left"/>
      <w:pPr>
        <w:ind w:left="6313" w:hanging="182"/>
      </w:pPr>
      <w:rPr>
        <w:rFonts w:hint="default"/>
        <w:lang w:val="en-US" w:eastAsia="en-US" w:bidi="ar-SA"/>
      </w:rPr>
    </w:lvl>
    <w:lvl w:ilvl="7">
      <w:start w:val="0"/>
      <w:numFmt w:val="bullet"/>
      <w:lvlText w:val="•"/>
      <w:lvlJc w:val="left"/>
      <w:pPr>
        <w:ind w:left="7321" w:hanging="182"/>
      </w:pPr>
      <w:rPr>
        <w:rFonts w:hint="default"/>
        <w:lang w:val="en-US" w:eastAsia="en-US" w:bidi="ar-SA"/>
      </w:rPr>
    </w:lvl>
    <w:lvl w:ilvl="8">
      <w:start w:val="0"/>
      <w:numFmt w:val="bullet"/>
      <w:lvlText w:val="•"/>
      <w:lvlJc w:val="left"/>
      <w:pPr>
        <w:ind w:left="8330"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266" w:hanging="1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 w:type="paragraph" w:customStyle="1" w:styleId="Title">
    <w:name w:val="Title"/>
    <w:basedOn w:val="BodyText"/>
    <w:pPr>
      <w:spacing w:after="120"/>
    </w:pPr>
    <w:rPr>
      <w:rFonts w:ascii="Times New Roman" w:hAnsi="Times New Roman"/>
      <w:b/>
      <w:color w:val="00000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numbering" Target="numbering.xm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hyperlink" Target="https://arxiv.org/html/2309.06180v1" TargetMode="External"/><Relationship Id="rId42" Type="http://schemas.openxmlformats.org/officeDocument/2006/relationships/hyperlink" Target="https://arxiv.org/html/2604.06036v4" TargetMode="External"/><Relationship Id="rId43" Type="http://schemas.openxmlformats.org/officeDocument/2006/relationships/hyperlink" Target="https://arxiv.org/html/2602.13191v2" TargetMode="External"/><Relationship Id="rId44" Type="http://schemas.openxmlformats.org/officeDocument/2006/relationships/hyperlink" Target="https://arxiv.org/html/2609.39563v1" TargetMode="External"/><Relationship Id="rId45" Type="http://schemas.openxmlformats.org/officeDocument/2006/relationships/hyperlink" Target="https://arxiv.org/abs/2306.14048" TargetMode="External"/><Relationship Id="rId46" Type="http://schemas.openxmlformats.org/officeDocument/2006/relationships/hyperlink" Target="https://arxiv.org/abs/2404.14469" TargetMode="External"/><Relationship Id="rId47" Type="http://schemas.openxmlformats.org/officeDocument/2006/relationships/hyperlink" Target="https://patents.google.com/patent/US6072548A/en" TargetMode="External"/><Relationship Id="rId48" Type="http://schemas.openxmlformats.org/officeDocument/2006/relationships/hyperlink" Target="https://patents.google.com/patent/US8300697B2/en" TargetMode="External"/><Relationship Id="rId49" Type="http://schemas.openxmlformats.org/officeDocument/2006/relationships/hyperlink" Target="https://patents.google.com/patent/US20250124105A1/en" TargetMode="External"/><Relationship Id="rId50" Type="http://schemas.openxmlformats.org/officeDocument/2006/relationships/hyperlink" Target="https://patents.google.com/patent/US20250225134A1/en" TargetMode="External"/><Relationship Id="rId51" Type="http://schemas.openxmlformats.org/officeDocument/2006/relationships/hyperlink" Target="https://patents.google.com/patent/US20260080217A1/en" TargetMode="External"/><Relationship Id="rId52" Type="http://schemas.openxmlformats.org/officeDocument/2006/relationships/hyperlink" Target="https://ipindia.gov.in/acts/patent-act-1970/section-10" TargetMode="External"/><Relationship Id="rId53" Type="http://schemas.openxmlformats.org/officeDocument/2006/relationships/hyperlink" Target="https://www.wipo.int/en/web/patents/faq_pa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erms:created xsi:type="dcterms:W3CDTF">2025-08-20T03:31:43Z</dcterms:created>
  <dcterms:modified xsi:type="dcterms:W3CDTF">2025-08-20T03:31:43Z</dcterms:modified>
  <dc:title>MTR KV Invention Disclosure Format B</dc:title>
  <cp:lastModifiedBy/>
  <dc:subject>Generation safe motion guided visual KV residency and semantic correction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2025-08-20T00:00:00Z</vt:filetime>
  </property>
  <property fmtid="{D5CDD505-2E9C-101B-9397-08002B2CF9AE}" pid="5" name="Producer">
    <vt:lpwstr>Microsoft® Word 2010</vt:lpwstr>
  </property>
</Properties>
</file>