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2"/>
          <w:szCs w:val="52"/>
        </w:rPr>
        <w:t xml:space="preserve">ENGINEERING THERMAL DYNAMICS</w:t>
      </w:r>
    </w:p>
    <w:p>
      <w:pPr>
        <w:pBdr>
          <w:bottom w:val="single" w:color="2E75B6" w:sz="12" w:space="8"/>
        </w:pBdr>
        <w:spacing w:after="100" w:before="200"/>
        <w:jc w:val="center"/>
      </w:pPr>
      <w:r>
        <w:rPr>
          <w:i/>
          <w:iCs/>
          <w:color w:val="595959"/>
          <w:sz w:val="24"/>
          <w:szCs w:val="24"/>
        </w:rPr>
        <w:t xml:space="preserve">An Advanced Technical Report on Heat Transfer Theory and Applied Practice</w:t>
      </w:r>
    </w:p>
    <w:p>
      <w:pPr>
        <w:spacing w:before="600"/>
      </w:pPr>
    </w:p>
    <w:p>
      <w:pPr>
        <w:jc w:val="center"/>
      </w:pPr>
      <w:r>
        <w:rPr>
          <w:i/>
          <w:iCs/>
          <w:color w:val="2E75B6"/>
          <w:sz w:val="22"/>
          <w:szCs w:val="22"/>
        </w:rPr>
        <w:t xml:space="preserve">Moving heat from fundamental physics to applied engineering reality</w:t>
      </w:r>
    </w:p>
    <w:p>
      <w:pPr>
        <w:spacing w:before="3200"/>
      </w:pPr>
    </w:p>
    <w:p>
      <w:pPr>
        <w:jc w:val="center"/>
      </w:pPr>
      <w:r>
        <w:rPr>
          <w:color w:val="595959"/>
          <w:sz w:val="18"/>
          <w:szCs w:val="18"/>
        </w:rPr>
        <w:t xml:space="preserve">Prepared as a technical reference on conduction, convection, and radiation</w:t>
      </w:r>
    </w:p>
    <w:p>
      <w:pPr>
        <w:spacing w:after="4000"/>
        <w:jc w:val="center"/>
      </w:pPr>
      <w:r>
        <w:rPr>
          <w:color w:val="595959"/>
          <w:sz w:val="18"/>
          <w:szCs w:val="18"/>
        </w:rPr>
        <w:t xml:space="preserve">phenomena, combined heat-transfer analysis, and industrial applications.</w:t>
      </w:r>
    </w:p>
    <w:p>
      <w:r>
        <w:br w:type="page"/>
      </w:r>
    </w:p>
    <w:p>
      <w:pPr>
        <w:pStyle w:val="Heading1"/>
        <w:pBdr>
          <w:bottom w:val="single" w:color="2E75B6" w:sz="6" w:space="4"/>
        </w:pBdr>
        <w:spacing w:after="200" w:before="40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200" w:before="400"/>
      </w:pPr>
      <w:r>
        <w:rPr>
          <w:b/>
          <w:bCs/>
          <w:color w:val="1F3864"/>
          <w:sz w:val="30"/>
          <w:szCs w:val="30"/>
        </w:rPr>
        <w:t xml:space="preserve">1. Executive Summary</w:t>
      </w:r>
    </w:p>
    <w:p>
      <w:pPr>
        <w:spacing w:after="160" w:line="276"/>
      </w:pPr>
      <w:r>
        <w:rPr>
          <w:color w:val="1A1A1A"/>
          <w:sz w:val="21"/>
          <w:szCs w:val="21"/>
        </w:rPr>
        <w:t xml:space="preserve">Heat transfer engineering underpins nearly every mechanical, electrical, and structural system that generates, moves, or must reject thermal energy. This report consolidates the governing physics of the three fundamental heat-transfer mechanisms — conduction, convection, and radiation — and connects that theory to the combined-mode analysis and design strategies used in real engineering systems.</w:t>
      </w:r>
    </w:p>
    <w:p>
      <w:pPr>
        <w:spacing w:after="160" w:line="276"/>
      </w:pPr>
      <w:r>
        <w:rPr>
          <w:color w:val="1A1A1A"/>
          <w:sz w:val="21"/>
          <w:szCs w:val="21"/>
        </w:rPr>
        <w:t xml:space="preserve">At its core, heat transfer is governed by a single unbreakable directional rule: thermal energy always flows from a region of higher temperature to a region of lower temperature until thermal equilibrium is reached. Every technique discussed in this report — from fin geometry to counter-flow heat exchanger design — exists to control the rate, direction, and efficiency of that flow, not to reverse it.</w:t>
      </w:r>
    </w:p>
    <w:p>
      <w:pPr>
        <w:spacing w:after="160" w:line="276"/>
      </w:pPr>
      <w:r>
        <w:rPr>
          <w:color w:val="1A1A1A"/>
          <w:sz w:val="21"/>
          <w:szCs w:val="21"/>
        </w:rPr>
        <w:t xml:space="preserve">The report is organized in five parts: fundamental principles and the Zeroth-Law basis of equilibrium; the three transfer mechanisms and their governing laws; combined-mode analysis via the overall heat transfer coefficient (U-value); heat exchanger flow architecture; and surface/phase-change optimization strategies. A closing section maps these principles onto representative industrial systems.</w:t>
      </w:r>
    </w:p>
    <w:p>
      <w:pPr>
        <w:pStyle w:val="Heading1"/>
        <w:pBdr>
          <w:bottom w:val="single" w:color="2E75B6" w:sz="6" w:space="4"/>
        </w:pBdr>
        <w:spacing w:after="200" w:before="400"/>
      </w:pPr>
      <w:r>
        <w:rPr>
          <w:b/>
          <w:bCs/>
          <w:color w:val="1F3864"/>
          <w:sz w:val="30"/>
          <w:szCs w:val="30"/>
        </w:rPr>
        <w:t xml:space="preserve">2. Fundamental Principles: The Pursuit of Thermal Equilibrium</w:t>
      </w:r>
    </w:p>
    <w:p>
      <w:pPr>
        <w:spacing w:after="160" w:line="276"/>
      </w:pPr>
      <w:r>
        <w:rPr>
          <w:color w:val="1A1A1A"/>
          <w:sz w:val="21"/>
          <w:szCs w:val="21"/>
        </w:rPr>
        <w:t xml:space="preserve">Heat transfer is formally defined as the study of thermal energy movement driven exclusively by temperature differences. Wherever a temperature gradient exists within or between bodies, energy migrates spontaneously to eliminate that gradient.</w:t>
      </w:r>
    </w:p>
    <w:p>
      <w:pPr>
        <w:pStyle w:val="Heading2"/>
        <w:spacing w:after="150" w:before="300"/>
      </w:pPr>
      <w:r>
        <w:rPr>
          <w:b/>
          <w:bCs/>
          <w:color w:val="2E75B6"/>
          <w:sz w:val="24"/>
          <w:szCs w:val="24"/>
        </w:rPr>
        <w:t xml:space="preserve">2.1 The Governing Directional Rule</w:t>
      </w:r>
    </w:p>
    <w:p>
      <w:pPr>
        <w:spacing w:after="160" w:line="276"/>
      </w:pPr>
      <w:r>
        <w:rPr>
          <w:color w:val="1A1A1A"/>
          <w:sz w:val="21"/>
          <w:szCs w:val="21"/>
        </w:rPr>
        <w:t xml:space="preserve">The unbreakable rule of thermal dynamics states that heat invariably flows from a state of higher temperature to a state of lower temperature until thermal equilibrium is perfectly reached. Consider two blocks placed in contact: an initial State 1 with one block hot and one block cold, and a resulting State 2 in which both blocks have equalized at a common intermediate temperature.</w:t>
      </w:r>
    </w:p>
    <w:p>
      <w:pPr>
        <w:pStyle w:val="Heading3"/>
        <w:spacing w:after="100" w:before="200"/>
      </w:pPr>
      <w:r>
        <w:rPr>
          <w:b/>
          <w:bCs/>
          <w:color w:val="1A1A1A"/>
          <w:sz w:val="22"/>
          <w:szCs w:val="22"/>
        </w:rPr>
        <w:t xml:space="preserve">State 1 — Disequilibrium</w:t>
      </w:r>
    </w:p>
    <w:p>
      <w:pPr>
        <w:pStyle w:val="ListParagraph"/>
        <w:numPr>
          <w:ilvl w:val="0"/>
          <w:numId w:val="2"/>
        </w:numPr>
        <w:spacing w:after="90"/>
      </w:pPr>
      <w:r>
        <w:rPr>
          <w:color w:val="1A1A1A"/>
          <w:sz w:val="21"/>
          <w:szCs w:val="21"/>
        </w:rPr>
        <w:t xml:space="preserve">A high-temperature body and a low-temperature body are brought into thermal contact.</w:t>
      </w:r>
    </w:p>
    <w:p>
      <w:pPr>
        <w:pStyle w:val="ListParagraph"/>
        <w:numPr>
          <w:ilvl w:val="0"/>
          <w:numId w:val="2"/>
        </w:numPr>
        <w:spacing w:after="90"/>
      </w:pPr>
      <w:r>
        <w:rPr>
          <w:color w:val="1A1A1A"/>
          <w:sz w:val="21"/>
          <w:szCs w:val="21"/>
        </w:rPr>
        <w:t xml:space="preserve">Thermal energy is set in motion, flowing exclusively from the hotter body to the cooler body.</w:t>
      </w:r>
    </w:p>
    <w:p>
      <w:pPr>
        <w:pStyle w:val="Heading3"/>
        <w:spacing w:after="100" w:before="200"/>
      </w:pPr>
      <w:r>
        <w:rPr>
          <w:b/>
          <w:bCs/>
          <w:color w:val="1A1A1A"/>
          <w:sz w:val="22"/>
          <w:szCs w:val="22"/>
        </w:rPr>
        <w:t xml:space="preserve">State 2 — Equilibrium</w:t>
      </w:r>
    </w:p>
    <w:p>
      <w:pPr>
        <w:pStyle w:val="ListParagraph"/>
        <w:numPr>
          <w:ilvl w:val="0"/>
          <w:numId w:val="2"/>
        </w:numPr>
        <w:spacing w:after="90"/>
      </w:pPr>
      <w:r>
        <w:rPr>
          <w:color w:val="1A1A1A"/>
          <w:sz w:val="21"/>
          <w:szCs w:val="21"/>
        </w:rPr>
        <w:t xml:space="preserve">Net energy flow ceases once both bodies reach the same temperature.</w:t>
      </w:r>
    </w:p>
    <w:p>
      <w:pPr>
        <w:pStyle w:val="ListParagraph"/>
        <w:numPr>
          <w:ilvl w:val="0"/>
          <w:numId w:val="2"/>
        </w:numPr>
        <w:spacing w:after="90"/>
      </w:pPr>
      <w:r>
        <w:rPr>
          <w:color w:val="1A1A1A"/>
          <w:sz w:val="21"/>
          <w:szCs w:val="21"/>
        </w:rPr>
        <w:t xml:space="preserve">This end state — thermal equilibrium — is the reference condition against which all heat transfer processes are measured.</w:t>
      </w:r>
    </w:p>
    <w:p>
      <w:pPr>
        <w:spacing w:after="160" w:line="276"/>
      </w:pPr>
      <w:r>
        <w:rPr>
          <w:color w:val="1A1A1A"/>
          <w:sz w:val="21"/>
          <w:szCs w:val="21"/>
        </w:rPr>
        <w:t xml:space="preserve">This principle is the practical engineering expression of the Zeroth and Second Laws of Thermodynamics: it guarantees that any two systems in thermal contact will trend toward a shared temperature, and it forbids heat from spontaneously flowing 'uphill' without external work input (as in a refrigeration cycle).</w:t>
      </w:r>
    </w:p>
    <w:p>
      <w:pPr>
        <w:pStyle w:val="Heading2"/>
        <w:spacing w:after="150" w:before="300"/>
      </w:pPr>
      <w:r>
        <w:rPr>
          <w:b/>
          <w:bCs/>
          <w:color w:val="2E75B6"/>
          <w:sz w:val="24"/>
          <w:szCs w:val="24"/>
        </w:rPr>
        <w:t xml:space="preserve">2.2 Why This Matters for Design</w:t>
      </w:r>
    </w:p>
    <w:p>
      <w:pPr>
        <w:spacing w:after="160" w:line="276"/>
      </w:pPr>
      <w:r>
        <w:rPr>
          <w:color w:val="1A1A1A"/>
          <w:sz w:val="21"/>
          <w:szCs w:val="21"/>
        </w:rPr>
        <w:t xml:space="preserve">Because heat transfer can only be redirected, accelerated, or slowed — never reversed without work — engineering design is fundamentally about manipulating the rate of approach to equilibrium. A heat sink does not stop heat from moving toward equilibrium; it accelerates the process so a microprocessor stabilizes below its thermal limit. Insulation does not block equilibrium; it slows the rate at which a building interior loses energy to a colder exterior.</w:t>
      </w:r>
    </w:p>
    <w:p>
      <w:pPr>
        <w:pStyle w:val="Heading1"/>
        <w:pBdr>
          <w:bottom w:val="single" w:color="2E75B6" w:sz="6" w:space="4"/>
        </w:pBdr>
        <w:spacing w:after="200" w:before="400"/>
      </w:pPr>
      <w:r>
        <w:rPr>
          <w:b/>
          <w:bCs/>
          <w:color w:val="1F3864"/>
          <w:sz w:val="30"/>
          <w:szCs w:val="30"/>
        </w:rPr>
        <w:t xml:space="preserve">3. Three Mechanisms of Thermal Movement</w:t>
      </w:r>
    </w:p>
    <w:p>
      <w:pPr>
        <w:spacing w:after="160" w:line="276"/>
      </w:pPr>
      <w:r>
        <w:rPr>
          <w:color w:val="1A1A1A"/>
          <w:sz w:val="21"/>
          <w:szCs w:val="21"/>
        </w:rPr>
        <w:t xml:space="preserve">All heat transfer, regardless of application complexity, decomposes into three fundamental mechanisms. Each requires a different physical medium, operates through a distinct energy-transport mechanism, and is governed by its own foundational law.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400"/>
      </w:tblGrid>
      <w:tr>
        <w:trPr>
          <w:tblHeader/>
        </w:trPr>
        <w:tc>
          <w:tcPr>
            <w:tcW w:type="dxa" w:w="2200"/>
            <w:shd w:fill="1F3864" w:val="clear"/>
            <w:tcMar>
              <w:top w:type="dxa" w:w="100"/>
              <w:left w:type="dxa" w:w="120"/>
              <w:bottom w:type="dxa" w:w="100"/>
              <w:right w:type="dxa" w:w="120"/>
            </w:tcMar>
            <w:vAlign w:val="center"/>
          </w:tcPr>
          <w:p>
            <w:pPr>
              <w:jc w:val="center"/>
            </w:pPr>
            <w:r>
              <w:rPr>
                <w:b/>
                <w:bCs/>
                <w:color w:val="FFFFFF"/>
                <w:sz w:val="20"/>
                <w:szCs w:val="20"/>
              </w:rPr>
              <w:t xml:space="preserve">Attribute</w:t>
            </w:r>
          </w:p>
        </w:tc>
        <w:tc>
          <w:tcPr>
            <w:tcW w:type="dxa" w:w="2400"/>
            <w:shd w:fill="1F3864" w:val="clear"/>
            <w:tcMar>
              <w:top w:type="dxa" w:w="100"/>
              <w:left w:type="dxa" w:w="120"/>
              <w:bottom w:type="dxa" w:w="100"/>
              <w:right w:type="dxa" w:w="120"/>
            </w:tcMar>
            <w:vAlign w:val="center"/>
          </w:tcPr>
          <w:p>
            <w:pPr>
              <w:jc w:val="center"/>
            </w:pPr>
            <w:r>
              <w:rPr>
                <w:b/>
                <w:bCs/>
                <w:color w:val="FFFFFF"/>
                <w:sz w:val="20"/>
                <w:szCs w:val="20"/>
              </w:rPr>
              <w:t xml:space="preserve">Conduction</w:t>
            </w:r>
          </w:p>
        </w:tc>
        <w:tc>
          <w:tcPr>
            <w:tcW w:type="dxa" w:w="2400"/>
            <w:shd w:fill="1F3864" w:val="clear"/>
            <w:tcMar>
              <w:top w:type="dxa" w:w="100"/>
              <w:left w:type="dxa" w:w="120"/>
              <w:bottom w:type="dxa" w:w="100"/>
              <w:right w:type="dxa" w:w="120"/>
            </w:tcMar>
            <w:vAlign w:val="center"/>
          </w:tcPr>
          <w:p>
            <w:pPr>
              <w:jc w:val="center"/>
            </w:pPr>
            <w:r>
              <w:rPr>
                <w:b/>
                <w:bCs/>
                <w:color w:val="FFFFFF"/>
                <w:sz w:val="20"/>
                <w:szCs w:val="20"/>
              </w:rPr>
              <w:t xml:space="preserve">Convection</w:t>
            </w:r>
          </w:p>
        </w:tc>
        <w:tc>
          <w:tcPr>
            <w:tcW w:type="dxa" w:w="2400"/>
            <w:shd w:fill="1F3864" w:val="clear"/>
            <w:tcMar>
              <w:top w:type="dxa" w:w="100"/>
              <w:left w:type="dxa" w:w="120"/>
              <w:bottom w:type="dxa" w:w="100"/>
              <w:right w:type="dxa" w:w="120"/>
            </w:tcMar>
            <w:vAlign w:val="center"/>
          </w:tcPr>
          <w:p>
            <w:pPr>
              <w:jc w:val="center"/>
            </w:pPr>
            <w:r>
              <w:rPr>
                <w:b/>
                <w:bCs/>
                <w:color w:val="FFFFFF"/>
                <w:sz w:val="20"/>
                <w:szCs w:val="20"/>
              </w:rPr>
              <w:t xml:space="preserve">Radiation</w:t>
            </w:r>
          </w:p>
        </w:tc>
      </w:tr>
      <w:tr>
        <w:tc>
          <w:tcPr>
            <w:tcW w:type="dxa" w:w="2200"/>
            <w:shd w:fill="FFFFFF" w:val="clear"/>
            <w:tcMar>
              <w:top w:type="dxa" w:w="90"/>
              <w:left w:type="dxa" w:w="120"/>
              <w:bottom w:type="dxa" w:w="90"/>
              <w:right w:type="dxa" w:w="120"/>
            </w:tcMar>
            <w:vAlign w:val="center"/>
          </w:tcPr>
          <w:p>
            <w:r>
              <w:rPr>
                <w:b/>
                <w:bCs/>
                <w:color w:val="1A1A1A"/>
                <w:sz w:val="19"/>
                <w:szCs w:val="19"/>
              </w:rPr>
              <w:t xml:space="preserve">Medium required</w:t>
            </w:r>
          </w:p>
        </w:tc>
        <w:tc>
          <w:tcPr>
            <w:tcW w:type="dxa" w:w="2400"/>
            <w:shd w:fill="FFFFFF" w:val="clear"/>
            <w:tcMar>
              <w:top w:type="dxa" w:w="90"/>
              <w:left w:type="dxa" w:w="120"/>
              <w:bottom w:type="dxa" w:w="90"/>
              <w:right w:type="dxa" w:w="120"/>
            </w:tcMar>
            <w:vAlign w:val="center"/>
          </w:tcPr>
          <w:p>
            <w:r>
              <w:rPr>
                <w:b w:val="false"/>
                <w:bCs w:val="false"/>
                <w:color w:val="1A1A1A"/>
                <w:sz w:val="19"/>
                <w:szCs w:val="19"/>
              </w:rPr>
              <w:t xml:space="preserve">Solid materials</w:t>
            </w:r>
          </w:p>
        </w:tc>
        <w:tc>
          <w:tcPr>
            <w:tcW w:type="dxa" w:w="2400"/>
            <w:shd w:fill="FFFFFF" w:val="clear"/>
            <w:tcMar>
              <w:top w:type="dxa" w:w="90"/>
              <w:left w:type="dxa" w:w="120"/>
              <w:bottom w:type="dxa" w:w="90"/>
              <w:right w:type="dxa" w:w="120"/>
            </w:tcMar>
            <w:vAlign w:val="center"/>
          </w:tcPr>
          <w:p>
            <w:r>
              <w:rPr>
                <w:b w:val="false"/>
                <w:bCs w:val="false"/>
                <w:color w:val="1A1A1A"/>
                <w:sz w:val="19"/>
                <w:szCs w:val="19"/>
              </w:rPr>
              <w:t xml:space="preserve">Moving fluid (liquid or gas)</w:t>
            </w:r>
          </w:p>
        </w:tc>
        <w:tc>
          <w:tcPr>
            <w:tcW w:type="dxa" w:w="2400"/>
            <w:shd w:fill="FFFFFF" w:val="clear"/>
            <w:tcMar>
              <w:top w:type="dxa" w:w="90"/>
              <w:left w:type="dxa" w:w="120"/>
              <w:bottom w:type="dxa" w:w="90"/>
              <w:right w:type="dxa" w:w="120"/>
            </w:tcMar>
            <w:vAlign w:val="center"/>
          </w:tcPr>
          <w:p>
            <w:r>
              <w:rPr>
                <w:b w:val="false"/>
                <w:bCs w:val="false"/>
                <w:color w:val="1A1A1A"/>
                <w:sz w:val="19"/>
                <w:szCs w:val="19"/>
              </w:rPr>
              <w:t xml:space="preserve">None — operates in vacuum</w:t>
            </w:r>
          </w:p>
        </w:tc>
      </w:tr>
      <w:tr>
        <w:tc>
          <w:tcPr>
            <w:tcW w:type="dxa" w:w="2200"/>
            <w:shd w:fill="FFFFFF" w:val="clear"/>
            <w:tcMar>
              <w:top w:type="dxa" w:w="90"/>
              <w:left w:type="dxa" w:w="120"/>
              <w:bottom w:type="dxa" w:w="90"/>
              <w:right w:type="dxa" w:w="120"/>
            </w:tcMar>
            <w:vAlign w:val="center"/>
          </w:tcPr>
          <w:p>
            <w:r>
              <w:rPr>
                <w:b/>
                <w:bCs/>
                <w:color w:val="1A1A1A"/>
                <w:sz w:val="19"/>
                <w:szCs w:val="19"/>
              </w:rPr>
              <w:t xml:space="preserve">Mechanism</w:t>
            </w:r>
          </w:p>
        </w:tc>
        <w:tc>
          <w:tcPr>
            <w:tcW w:type="dxa" w:w="2400"/>
            <w:shd w:fill="DCE6F1" w:val="clear"/>
            <w:tcMar>
              <w:top w:type="dxa" w:w="90"/>
              <w:left w:type="dxa" w:w="120"/>
              <w:bottom w:type="dxa" w:w="90"/>
              <w:right w:type="dxa" w:w="120"/>
            </w:tcMar>
            <w:vAlign w:val="center"/>
          </w:tcPr>
          <w:p>
            <w:r>
              <w:rPr>
                <w:b w:val="false"/>
                <w:bCs w:val="false"/>
                <w:color w:val="1A1A1A"/>
                <w:sz w:val="19"/>
                <w:szCs w:val="19"/>
              </w:rPr>
              <w:t xml:space="preserve">Direct molecular / lattice interaction</w:t>
            </w:r>
          </w:p>
        </w:tc>
        <w:tc>
          <w:tcPr>
            <w:tcW w:type="dxa" w:w="2400"/>
            <w:shd w:fill="DCE6F1" w:val="clear"/>
            <w:tcMar>
              <w:top w:type="dxa" w:w="90"/>
              <w:left w:type="dxa" w:w="120"/>
              <w:bottom w:type="dxa" w:w="90"/>
              <w:right w:type="dxa" w:w="120"/>
            </w:tcMar>
            <w:vAlign w:val="center"/>
          </w:tcPr>
          <w:p>
            <w:r>
              <w:rPr>
                <w:b w:val="false"/>
                <w:bCs w:val="false"/>
                <w:color w:val="1A1A1A"/>
                <w:sz w:val="19"/>
                <w:szCs w:val="19"/>
              </w:rPr>
              <w:t xml:space="preserve">Fluid motion and buoyancy effects</w:t>
            </w:r>
          </w:p>
        </w:tc>
        <w:tc>
          <w:tcPr>
            <w:tcW w:type="dxa" w:w="2400"/>
            <w:shd w:fill="DCE6F1" w:val="clear"/>
            <w:tcMar>
              <w:top w:type="dxa" w:w="90"/>
              <w:left w:type="dxa" w:w="120"/>
              <w:bottom w:type="dxa" w:w="90"/>
              <w:right w:type="dxa" w:w="120"/>
            </w:tcMar>
            <w:vAlign w:val="center"/>
          </w:tcPr>
          <w:p>
            <w:r>
              <w:rPr>
                <w:b w:val="false"/>
                <w:bCs w:val="false"/>
                <w:color w:val="1A1A1A"/>
                <w:sz w:val="19"/>
                <w:szCs w:val="19"/>
              </w:rPr>
              <w:t xml:space="preserve">Electromagnetic wave emission</w:t>
            </w:r>
          </w:p>
        </w:tc>
      </w:tr>
      <w:tr>
        <w:tc>
          <w:tcPr>
            <w:tcW w:type="dxa" w:w="2200"/>
            <w:shd w:fill="FFFFFF" w:val="clear"/>
            <w:tcMar>
              <w:top w:type="dxa" w:w="90"/>
              <w:left w:type="dxa" w:w="120"/>
              <w:bottom w:type="dxa" w:w="90"/>
              <w:right w:type="dxa" w:w="120"/>
            </w:tcMar>
            <w:vAlign w:val="center"/>
          </w:tcPr>
          <w:p>
            <w:r>
              <w:rPr>
                <w:b/>
                <w:bCs/>
                <w:color w:val="1A1A1A"/>
                <w:sz w:val="19"/>
                <w:szCs w:val="19"/>
              </w:rPr>
              <w:t xml:space="preserve">Governing law</w:t>
            </w:r>
          </w:p>
        </w:tc>
        <w:tc>
          <w:tcPr>
            <w:tcW w:type="dxa" w:w="2400"/>
            <w:shd w:fill="FFFFFF" w:val="clear"/>
            <w:tcMar>
              <w:top w:type="dxa" w:w="90"/>
              <w:left w:type="dxa" w:w="120"/>
              <w:bottom w:type="dxa" w:w="90"/>
              <w:right w:type="dxa" w:w="120"/>
            </w:tcMar>
            <w:vAlign w:val="center"/>
          </w:tcPr>
          <w:p>
            <w:r>
              <w:rPr>
                <w:b w:val="false"/>
                <w:bCs w:val="false"/>
                <w:color w:val="1A1A1A"/>
                <w:sz w:val="19"/>
                <w:szCs w:val="19"/>
              </w:rPr>
              <w:t xml:space="preserve">Fourier's Law</w:t>
            </w:r>
          </w:p>
        </w:tc>
        <w:tc>
          <w:tcPr>
            <w:tcW w:type="dxa" w:w="2400"/>
            <w:shd w:fill="FFFFFF" w:val="clear"/>
            <w:tcMar>
              <w:top w:type="dxa" w:w="90"/>
              <w:left w:type="dxa" w:w="120"/>
              <w:bottom w:type="dxa" w:w="90"/>
              <w:right w:type="dxa" w:w="120"/>
            </w:tcMar>
            <w:vAlign w:val="center"/>
          </w:tcPr>
          <w:p>
            <w:r>
              <w:rPr>
                <w:b w:val="false"/>
                <w:bCs w:val="false"/>
                <w:color w:val="1A1A1A"/>
                <w:sz w:val="19"/>
                <w:szCs w:val="19"/>
              </w:rPr>
              <w:t xml:space="preserve">Newton's Law of Cooling</w:t>
            </w:r>
          </w:p>
        </w:tc>
        <w:tc>
          <w:tcPr>
            <w:tcW w:type="dxa" w:w="2400"/>
            <w:shd w:fill="FFFFFF" w:val="clear"/>
            <w:tcMar>
              <w:top w:type="dxa" w:w="90"/>
              <w:left w:type="dxa" w:w="120"/>
              <w:bottom w:type="dxa" w:w="90"/>
              <w:right w:type="dxa" w:w="120"/>
            </w:tcMar>
            <w:vAlign w:val="center"/>
          </w:tcPr>
          <w:p>
            <w:r>
              <w:rPr>
                <w:b w:val="false"/>
                <w:bCs w:val="false"/>
                <w:color w:val="1A1A1A"/>
                <w:sz w:val="19"/>
                <w:szCs w:val="19"/>
              </w:rPr>
              <w:t xml:space="preserve">Stefan–Boltzmann Law</w:t>
            </w:r>
          </w:p>
        </w:tc>
      </w:tr>
      <w:tr>
        <w:tc>
          <w:tcPr>
            <w:tcW w:type="dxa" w:w="2200"/>
            <w:shd w:fill="FFFFFF" w:val="clear"/>
            <w:tcMar>
              <w:top w:type="dxa" w:w="90"/>
              <w:left w:type="dxa" w:w="120"/>
              <w:bottom w:type="dxa" w:w="90"/>
              <w:right w:type="dxa" w:w="120"/>
            </w:tcMar>
            <w:vAlign w:val="center"/>
          </w:tcPr>
          <w:p>
            <w:r>
              <w:rPr>
                <w:b/>
                <w:bCs/>
                <w:color w:val="1A1A1A"/>
                <w:sz w:val="19"/>
                <w:szCs w:val="19"/>
              </w:rPr>
              <w:t xml:space="preserve">Governing equation</w:t>
            </w:r>
          </w:p>
        </w:tc>
        <w:tc>
          <w:tcPr>
            <w:tcW w:type="dxa" w:w="2400"/>
            <w:shd w:fill="DCE6F1" w:val="clear"/>
            <w:tcMar>
              <w:top w:type="dxa" w:w="90"/>
              <w:left w:type="dxa" w:w="120"/>
              <w:bottom w:type="dxa" w:w="90"/>
              <w:right w:type="dxa" w:w="120"/>
            </w:tcMar>
            <w:vAlign w:val="center"/>
          </w:tcPr>
          <w:p>
            <w:r>
              <w:rPr>
                <w:b w:val="false"/>
                <w:bCs w:val="false"/>
                <w:color w:val="1A1A1A"/>
                <w:sz w:val="19"/>
                <w:szCs w:val="19"/>
              </w:rPr>
              <w:t xml:space="preserve">Q = -kA(dT/dx)</w:t>
            </w:r>
          </w:p>
        </w:tc>
        <w:tc>
          <w:tcPr>
            <w:tcW w:type="dxa" w:w="2400"/>
            <w:shd w:fill="DCE6F1" w:val="clear"/>
            <w:tcMar>
              <w:top w:type="dxa" w:w="90"/>
              <w:left w:type="dxa" w:w="120"/>
              <w:bottom w:type="dxa" w:w="90"/>
              <w:right w:type="dxa" w:w="120"/>
            </w:tcMar>
            <w:vAlign w:val="center"/>
          </w:tcPr>
          <w:p>
            <w:r>
              <w:rPr>
                <w:b w:val="false"/>
                <w:bCs w:val="false"/>
                <w:color w:val="1A1A1A"/>
                <w:sz w:val="19"/>
                <w:szCs w:val="19"/>
              </w:rPr>
              <w:t xml:space="preserve">Q = hA(Ts - T∞)</w:t>
            </w:r>
          </w:p>
        </w:tc>
        <w:tc>
          <w:tcPr>
            <w:tcW w:type="dxa" w:w="2400"/>
            <w:shd w:fill="DCE6F1" w:val="clear"/>
            <w:tcMar>
              <w:top w:type="dxa" w:w="90"/>
              <w:left w:type="dxa" w:w="120"/>
              <w:bottom w:type="dxa" w:w="90"/>
              <w:right w:type="dxa" w:w="120"/>
            </w:tcMar>
            <w:vAlign w:val="center"/>
          </w:tcPr>
          <w:p>
            <w:r>
              <w:rPr>
                <w:b w:val="false"/>
                <w:bCs w:val="false"/>
                <w:color w:val="1A1A1A"/>
                <w:sz w:val="19"/>
                <w:szCs w:val="19"/>
              </w:rPr>
              <w:t xml:space="preserve">Q = σεAT⁴</w:t>
            </w:r>
          </w:p>
        </w:tc>
      </w:tr>
      <w:tr>
        <w:tc>
          <w:tcPr>
            <w:tcW w:type="dxa" w:w="2200"/>
            <w:shd w:fill="FFFFFF" w:val="clear"/>
            <w:tcMar>
              <w:top w:type="dxa" w:w="90"/>
              <w:left w:type="dxa" w:w="120"/>
              <w:bottom w:type="dxa" w:w="90"/>
              <w:right w:type="dxa" w:w="120"/>
            </w:tcMar>
            <w:vAlign w:val="center"/>
          </w:tcPr>
          <w:p>
            <w:r>
              <w:rPr>
                <w:b/>
                <w:bCs/>
                <w:color w:val="1A1A1A"/>
                <w:sz w:val="19"/>
                <w:szCs w:val="19"/>
              </w:rPr>
              <w:t xml:space="preserve">Key variable</w:t>
            </w:r>
          </w:p>
        </w:tc>
        <w:tc>
          <w:tcPr>
            <w:tcW w:type="dxa" w:w="2400"/>
            <w:shd w:fill="FFFFFF" w:val="clear"/>
            <w:tcMar>
              <w:top w:type="dxa" w:w="90"/>
              <w:left w:type="dxa" w:w="120"/>
              <w:bottom w:type="dxa" w:w="90"/>
              <w:right w:type="dxa" w:w="120"/>
            </w:tcMar>
            <w:vAlign w:val="center"/>
          </w:tcPr>
          <w:p>
            <w:r>
              <w:rPr>
                <w:b w:val="false"/>
                <w:bCs w:val="false"/>
                <w:color w:val="1A1A1A"/>
                <w:sz w:val="19"/>
                <w:szCs w:val="19"/>
              </w:rPr>
              <w:t xml:space="preserve">Thermal conductivity, k</w:t>
            </w:r>
          </w:p>
        </w:tc>
        <w:tc>
          <w:tcPr>
            <w:tcW w:type="dxa" w:w="2400"/>
            <w:shd w:fill="FFFFFF" w:val="clear"/>
            <w:tcMar>
              <w:top w:type="dxa" w:w="90"/>
              <w:left w:type="dxa" w:w="120"/>
              <w:bottom w:type="dxa" w:w="90"/>
              <w:right w:type="dxa" w:w="120"/>
            </w:tcMar>
            <w:vAlign w:val="center"/>
          </w:tcPr>
          <w:p>
            <w:r>
              <w:rPr>
                <w:b w:val="false"/>
                <w:bCs w:val="false"/>
                <w:color w:val="1A1A1A"/>
                <w:sz w:val="19"/>
                <w:szCs w:val="19"/>
              </w:rPr>
              <w:t xml:space="preserve">Convection coefficient, h</w:t>
            </w:r>
          </w:p>
        </w:tc>
        <w:tc>
          <w:tcPr>
            <w:tcW w:type="dxa" w:w="2400"/>
            <w:shd w:fill="FFFFFF" w:val="clear"/>
            <w:tcMar>
              <w:top w:type="dxa" w:w="90"/>
              <w:left w:type="dxa" w:w="120"/>
              <w:bottom w:type="dxa" w:w="90"/>
              <w:right w:type="dxa" w:w="120"/>
            </w:tcMar>
            <w:vAlign w:val="center"/>
          </w:tcPr>
          <w:p>
            <w:r>
              <w:rPr>
                <w:b w:val="false"/>
                <w:bCs w:val="false"/>
                <w:color w:val="1A1A1A"/>
                <w:sz w:val="19"/>
                <w:szCs w:val="19"/>
              </w:rPr>
              <w:t xml:space="preserve">Emissivity, ε (0 to 1)</w:t>
            </w:r>
          </w:p>
        </w:tc>
      </w:tr>
    </w:tbl>
    <w:p>
      <w:pPr>
        <w:spacing w:after="240" w:before="60"/>
      </w:pPr>
      <w:r>
        <w:rPr>
          <w:i/>
          <w:iCs/>
          <w:color w:val="595959"/>
          <w:sz w:val="18"/>
          <w:szCs w:val="18"/>
        </w:rPr>
        <w:t xml:space="preserve">Table 1 — Comparative summary of the three heat transfer mechanisms.</w:t>
      </w:r>
    </w:p>
    <w:p>
      <w:pPr>
        <w:pStyle w:val="Heading2"/>
        <w:spacing w:after="150" w:before="300"/>
      </w:pPr>
      <w:r>
        <w:rPr>
          <w:b/>
          <w:bCs/>
          <w:color w:val="2E75B6"/>
          <w:sz w:val="24"/>
          <w:szCs w:val="24"/>
        </w:rPr>
        <w:t xml:space="preserve">3.1 Conduction — The Chain Reaction Through Solids</w:t>
      </w:r>
    </w:p>
    <w:p>
      <w:pPr>
        <w:spacing w:after="160" w:line="276"/>
      </w:pPr>
      <w:r>
        <w:rPr>
          <w:color w:val="1A1A1A"/>
          <w:sz w:val="21"/>
          <w:szCs w:val="21"/>
        </w:rPr>
        <w:t xml:space="preserve">Conduction transfers energy through direct molecular and lattice interaction, requiring a solid (or, to a lesser extent, a stationary fluid) medium. Energetic particles transfer vibrational and kinetic energy to their immediate neighbors in an unbroken chain, moving heat from a region of high temperature toward a region of low temperature without any bulk motion of the material itself.</w:t>
      </w:r>
    </w:p>
    <w:p>
      <w:pPr>
        <w:shd w:fill="DCE6F1" w:val="clear"/>
        <w:spacing w:after="160" w:before="160"/>
        <w:jc w:val="center"/>
      </w:pPr>
      <w:r>
        <w:rPr>
          <w:rFonts w:ascii="Cambria Math" w:cs="Cambria Math" w:eastAsia="Cambria Math" w:hAnsi="Cambria Math"/>
          <w:b/>
          <w:bCs/>
          <w:color w:val="1F3864"/>
          <w:sz w:val="26"/>
          <w:szCs w:val="26"/>
        </w:rPr>
        <w:t xml:space="preserve">Q = -k · A · (dT/dx)</w:t>
      </w:r>
    </w:p>
    <w:p>
      <w:pPr>
        <w:pStyle w:val="ListParagraph"/>
        <w:numPr>
          <w:ilvl w:val="0"/>
          <w:numId w:val="2"/>
        </w:numPr>
        <w:spacing w:after="90"/>
      </w:pPr>
      <w:r>
        <w:rPr>
          <w:color w:val="1A1A1A"/>
          <w:sz w:val="21"/>
          <w:szCs w:val="21"/>
        </w:rPr>
        <w:t xml:space="preserve">Q — rate of heat flow through the material.</w:t>
      </w:r>
    </w:p>
    <w:p>
      <w:pPr>
        <w:pStyle w:val="ListParagraph"/>
        <w:numPr>
          <w:ilvl w:val="0"/>
          <w:numId w:val="2"/>
        </w:numPr>
        <w:spacing w:after="90"/>
      </w:pPr>
      <w:r>
        <w:rPr>
          <w:color w:val="1A1A1A"/>
          <w:sz w:val="21"/>
          <w:szCs w:val="21"/>
        </w:rPr>
        <w:t xml:space="preserve">k — thermal conductivity, an intrinsic material property. Metals exhibit high conductivity; wood and plastics are poor conductors.</w:t>
      </w:r>
    </w:p>
    <w:p>
      <w:pPr>
        <w:pStyle w:val="ListParagraph"/>
        <w:numPr>
          <w:ilvl w:val="0"/>
          <w:numId w:val="2"/>
        </w:numPr>
        <w:spacing w:after="90"/>
      </w:pPr>
      <w:r>
        <w:rPr>
          <w:color w:val="1A1A1A"/>
          <w:sz w:val="21"/>
          <w:szCs w:val="21"/>
        </w:rPr>
        <w:t xml:space="preserve">A — cross-sectional area through which heat flows.</w:t>
      </w:r>
    </w:p>
    <w:p>
      <w:pPr>
        <w:pStyle w:val="ListParagraph"/>
        <w:numPr>
          <w:ilvl w:val="0"/>
          <w:numId w:val="2"/>
        </w:numPr>
        <w:spacing w:after="90"/>
      </w:pPr>
      <w:r>
        <w:rPr>
          <w:color w:val="1A1A1A"/>
          <w:sz w:val="21"/>
          <w:szCs w:val="21"/>
        </w:rPr>
        <w:t xml:space="preserve">dT/dx — the temperature gradient along the direction of flow; the negative sign reflects that heat flows down the gradient.</w:t>
      </w:r>
    </w:p>
    <w:p>
      <w:pPr>
        <w:spacing w:after="160" w:line="276"/>
      </w:pPr>
      <w:r>
        <w:rPr>
          <w:color w:val="1A1A1A"/>
          <w:sz w:val="21"/>
          <w:szCs w:val="21"/>
        </w:rPr>
        <w:t xml:space="preserve">The magnitude of k spans several orders of magnitude across common engineering materials, which is why material selection is often the single most impactful design decision for a conductive heat path — from copper heat spreaders in electronics to low-conductivity foam insulation in building envelopes.</w:t>
      </w:r>
    </w:p>
    <w:p>
      <w:pPr>
        <w:pStyle w:val="Heading2"/>
        <w:spacing w:after="150" w:before="300"/>
      </w:pPr>
      <w:r>
        <w:rPr>
          <w:b/>
          <w:bCs/>
          <w:color w:val="2E75B6"/>
          <w:sz w:val="24"/>
          <w:szCs w:val="24"/>
        </w:rPr>
        <w:t xml:space="preserve">3.2 Convection — Heat Transfer Through Fluid Dynamics</w:t>
      </w:r>
    </w:p>
    <w:p>
      <w:pPr>
        <w:spacing w:after="160" w:line="276"/>
      </w:pPr>
      <w:r>
        <w:rPr>
          <w:color w:val="1A1A1A"/>
          <w:sz w:val="21"/>
          <w:szCs w:val="21"/>
        </w:rPr>
        <w:t xml:space="preserve">Convection moves thermal energy via the combined effects of fluid motion and conduction at the fluid-solid interface, and requires a moving liquid or gas as its medium. Two distinct regimes exist, differentiated by the driving force behind the fluid motion.</w:t>
      </w:r>
    </w:p>
    <w:p>
      <w:pPr>
        <w:pStyle w:val="Heading3"/>
        <w:spacing w:after="100" w:before="200"/>
      </w:pPr>
      <w:r>
        <w:rPr>
          <w:b/>
          <w:bCs/>
          <w:color w:val="1A1A1A"/>
          <w:sz w:val="22"/>
          <w:szCs w:val="22"/>
        </w:rPr>
        <w:t xml:space="preserve">Natural Convection</w:t>
      </w:r>
    </w:p>
    <w:p>
      <w:pPr>
        <w:spacing w:after="160" w:line="276"/>
      </w:pPr>
      <w:r>
        <w:rPr>
          <w:color w:val="1A1A1A"/>
          <w:sz w:val="21"/>
          <w:szCs w:val="21"/>
        </w:rPr>
        <w:t xml:space="preserve">Driven purely by buoyancy effects: fluid heated at a surface becomes less dense, rises, and is replaced by cooler, denser fluid, establishing a self-sustaining circulation loop with no external mechanical input.</w:t>
      </w:r>
    </w:p>
    <w:p>
      <w:pPr>
        <w:pStyle w:val="Heading3"/>
        <w:spacing w:after="100" w:before="200"/>
      </w:pPr>
      <w:r>
        <w:rPr>
          <w:b/>
          <w:bCs/>
          <w:color w:val="1A1A1A"/>
          <w:sz w:val="22"/>
          <w:szCs w:val="22"/>
        </w:rPr>
        <w:t xml:space="preserve">Forced Convection</w:t>
      </w:r>
    </w:p>
    <w:p>
      <w:pPr>
        <w:spacing w:after="160" w:line="276"/>
      </w:pPr>
      <w:r>
        <w:rPr>
          <w:color w:val="1A1A1A"/>
          <w:sz w:val="21"/>
          <w:szCs w:val="21"/>
        </w:rPr>
        <w:t xml:space="preserve">Driven by external mechanisms such as fans or pumps, which impose bulk fluid velocity across a surface. Forced convection typically achieves substantially higher heat transfer rates than natural convection because higher fluid velocities disrupt the thermal boundary layer more aggressively.</w:t>
      </w:r>
    </w:p>
    <w:p>
      <w:pPr>
        <w:shd w:fill="DCE6F1" w:val="clear"/>
        <w:spacing w:after="160" w:before="160"/>
        <w:jc w:val="center"/>
      </w:pPr>
      <w:r>
        <w:rPr>
          <w:rFonts w:ascii="Cambria Math" w:cs="Cambria Math" w:eastAsia="Cambria Math" w:hAnsi="Cambria Math"/>
          <w:b/>
          <w:bCs/>
          <w:color w:val="1F3864"/>
          <w:sz w:val="26"/>
          <w:szCs w:val="26"/>
        </w:rPr>
        <w:t xml:space="preserve">Q = h · A · (Ts − T∞)</w:t>
      </w:r>
    </w:p>
    <w:p>
      <w:pPr>
        <w:pStyle w:val="ListParagraph"/>
        <w:numPr>
          <w:ilvl w:val="0"/>
          <w:numId w:val="2"/>
        </w:numPr>
        <w:spacing w:after="90"/>
      </w:pPr>
      <w:r>
        <w:rPr>
          <w:color w:val="1A1A1A"/>
          <w:sz w:val="21"/>
          <w:szCs w:val="21"/>
        </w:rPr>
        <w:t xml:space="preserve">h — the convection coefficient, which is highly dependent on fluid velocity, viscosity, and surface geometry, and is therefore empirically determined rather than a fixed material constant.</w:t>
      </w:r>
    </w:p>
    <w:p>
      <w:pPr>
        <w:pStyle w:val="ListParagraph"/>
        <w:numPr>
          <w:ilvl w:val="0"/>
          <w:numId w:val="2"/>
        </w:numPr>
        <w:spacing w:after="90"/>
      </w:pPr>
      <w:r>
        <w:rPr>
          <w:color w:val="1A1A1A"/>
          <w:sz w:val="21"/>
          <w:szCs w:val="21"/>
        </w:rPr>
        <w:t xml:space="preserve">A — the surface area exposed to the fluid.</w:t>
      </w:r>
    </w:p>
    <w:p>
      <w:pPr>
        <w:pStyle w:val="ListParagraph"/>
        <w:numPr>
          <w:ilvl w:val="0"/>
          <w:numId w:val="2"/>
        </w:numPr>
        <w:spacing w:after="90"/>
      </w:pPr>
      <w:r>
        <w:rPr>
          <w:color w:val="1A1A1A"/>
          <w:sz w:val="21"/>
          <w:szCs w:val="21"/>
        </w:rPr>
        <w:t xml:space="preserve">(Ts − T∞) — the temperature difference between the surface and the free-stream fluid.</w:t>
      </w:r>
    </w:p>
    <w:p>
      <w:pPr>
        <w:spacing w:after="160" w:line="276"/>
      </w:pPr>
      <w:r>
        <w:rPr>
          <w:color w:val="1A1A1A"/>
          <w:sz w:val="21"/>
          <w:szCs w:val="21"/>
        </w:rPr>
        <w:t xml:space="preserve">Because h is sensitive to flow conditions, convective design work is dominated by manipulating velocity, turbulence, and surface geometry — the same lever exploited by fans, pumps, fins, and surface roughening.</w:t>
      </w:r>
    </w:p>
    <w:p>
      <w:pPr>
        <w:pStyle w:val="Heading2"/>
        <w:spacing w:after="150" w:before="300"/>
      </w:pPr>
      <w:r>
        <w:rPr>
          <w:b/>
          <w:bCs/>
          <w:color w:val="2E75B6"/>
          <w:sz w:val="24"/>
          <w:szCs w:val="24"/>
        </w:rPr>
        <w:t xml:space="preserve">3.3 Radiation — Energy Transmission Across the Void</w:t>
      </w:r>
    </w:p>
    <w:p>
      <w:pPr>
        <w:spacing w:after="160" w:line="276"/>
      </w:pPr>
      <w:r>
        <w:rPr>
          <w:color w:val="1A1A1A"/>
          <w:sz w:val="21"/>
          <w:szCs w:val="21"/>
        </w:rPr>
        <w:t xml:space="preserve">Radiation transmits energy via electromagnetic wave emission and, uniquely among the three mechanisms, requires no medium at all — it operates freely even across a vacuum, as demonstrated by solar energy reaching Earth across empty space.</w:t>
      </w:r>
    </w:p>
    <w:p>
      <w:pPr>
        <w:shd w:fill="DCE6F1" w:val="clear"/>
        <w:spacing w:after="160" w:before="160"/>
        <w:jc w:val="center"/>
      </w:pPr>
      <w:r>
        <w:rPr>
          <w:rFonts w:ascii="Cambria Math" w:cs="Cambria Math" w:eastAsia="Cambria Math" w:hAnsi="Cambria Math"/>
          <w:b/>
          <w:bCs/>
          <w:color w:val="1F3864"/>
          <w:sz w:val="26"/>
          <w:szCs w:val="26"/>
        </w:rPr>
        <w:t xml:space="preserve">Q = σ · ε · A · T⁴</w:t>
      </w:r>
    </w:p>
    <w:p>
      <w:pPr>
        <w:pStyle w:val="ListParagraph"/>
        <w:numPr>
          <w:ilvl w:val="0"/>
          <w:numId w:val="2"/>
        </w:numPr>
        <w:spacing w:after="90"/>
      </w:pPr>
      <w:r>
        <w:rPr>
          <w:color w:val="1A1A1A"/>
          <w:sz w:val="21"/>
          <w:szCs w:val="21"/>
        </w:rPr>
        <w:t xml:space="preserve">σ — the Stefan-Boltzmann constant, a universal physical constant.</w:t>
      </w:r>
    </w:p>
    <w:p>
      <w:pPr>
        <w:pStyle w:val="ListParagraph"/>
        <w:numPr>
          <w:ilvl w:val="0"/>
          <w:numId w:val="2"/>
        </w:numPr>
        <w:spacing w:after="90"/>
      </w:pPr>
      <w:r>
        <w:rPr>
          <w:color w:val="1A1A1A"/>
          <w:sz w:val="21"/>
          <w:szCs w:val="21"/>
        </w:rPr>
        <w:t xml:space="preserve">ε — emissivity, which measures how closely a real-world surface approaches a theoretical black body; real surfaces always emit less thermal energy than an ideal black body (ε = 1).</w:t>
      </w:r>
    </w:p>
    <w:p>
      <w:pPr>
        <w:pStyle w:val="ListParagraph"/>
        <w:numPr>
          <w:ilvl w:val="0"/>
          <w:numId w:val="2"/>
        </w:numPr>
        <w:spacing w:after="90"/>
      </w:pPr>
      <w:r>
        <w:rPr>
          <w:color w:val="1A1A1A"/>
          <w:sz w:val="21"/>
          <w:szCs w:val="21"/>
        </w:rPr>
        <w:t xml:space="preserve">A — the emitting surface area.</w:t>
      </w:r>
    </w:p>
    <w:p>
      <w:pPr>
        <w:pStyle w:val="ListParagraph"/>
        <w:numPr>
          <w:ilvl w:val="0"/>
          <w:numId w:val="2"/>
        </w:numPr>
        <w:spacing w:after="90"/>
      </w:pPr>
      <w:r>
        <w:rPr>
          <w:color w:val="1A1A1A"/>
          <w:sz w:val="21"/>
          <w:szCs w:val="21"/>
        </w:rPr>
        <w:t xml:space="preserve">T⁴ — temperature raised to the fourth power, the defining feature of the radiative law.</w:t>
      </w:r>
    </w:p>
    <w:p>
      <w:pPr>
        <w:spacing w:after="160" w:line="276"/>
      </w:pPr>
      <w:r>
        <w:rPr>
          <w:color w:val="1A1A1A"/>
          <w:sz w:val="21"/>
          <w:szCs w:val="21"/>
        </w:rPr>
        <w:t xml:space="preserve">Because radiative output scales with the fourth power of absolute temperature, radiation is a negligible contributor at everyday temperatures but becomes the dominant mode of heat transfer at extremely high temperatures — combustion chambers, furnace walls, and atmospheric re-entry surfaces are all radiation-dominated thermal problems.</w:t>
      </w:r>
    </w:p>
    <w:p>
      <w:pPr>
        <w:pStyle w:val="Heading1"/>
        <w:pBdr>
          <w:bottom w:val="single" w:color="2E75B6" w:sz="6" w:space="4"/>
        </w:pBdr>
        <w:spacing w:after="200" w:before="400"/>
      </w:pPr>
      <w:r>
        <w:rPr>
          <w:b/>
          <w:bCs/>
          <w:color w:val="1F3864"/>
          <w:sz w:val="30"/>
          <w:szCs w:val="30"/>
        </w:rPr>
        <w:t xml:space="preserve">4. Combined-Mode Analysis: The U-Value</w:t>
      </w:r>
    </w:p>
    <w:p>
      <w:pPr>
        <w:spacing w:after="160" w:line="276"/>
      </w:pPr>
      <w:r>
        <w:rPr>
          <w:color w:val="1A1A1A"/>
          <w:sz w:val="21"/>
          <w:szCs w:val="21"/>
        </w:rPr>
        <w:t xml:space="preserve">In real engineering systems, the three mechanisms rarely act in isolation. A building wall simultaneously experiences forced convection from HVAC airflow on the interior face, conduction through composite wall layers, and radiation from solar rays striking the exterior face. Analyzing each mechanism independently would be impractical for system-level design decisions.</w:t>
      </w:r>
    </w:p>
    <w:p>
      <w:pPr>
        <w:spacing w:after="160" w:line="276"/>
      </w:pPr>
      <w:r>
        <w:rPr>
          <w:color w:val="1A1A1A"/>
          <w:sz w:val="21"/>
          <w:szCs w:val="21"/>
        </w:rPr>
        <w:t xml:space="preserve">To manage this complexity, engineers combine all individual thermal resistances in a system into a single overall heat transfer coefficient — the U-value — which characterizes total system thermal performance in one figure of merit.</w:t>
      </w:r>
    </w:p>
    <w:p>
      <w:pPr>
        <w:pStyle w:val="ListParagraph"/>
        <w:numPr>
          <w:ilvl w:val="0"/>
          <w:numId w:val="2"/>
        </w:numPr>
        <w:spacing w:after="90"/>
      </w:pPr>
      <w:r>
        <w:rPr>
          <w:color w:val="1A1A1A"/>
          <w:sz w:val="21"/>
          <w:szCs w:val="21"/>
        </w:rPr>
        <w:t xml:space="preserve">Forced convection at interior surfaces, driven by HVAC air circulation.</w:t>
      </w:r>
    </w:p>
    <w:p>
      <w:pPr>
        <w:pStyle w:val="ListParagraph"/>
        <w:numPr>
          <w:ilvl w:val="0"/>
          <w:numId w:val="2"/>
        </w:numPr>
        <w:spacing w:after="90"/>
      </w:pPr>
      <w:r>
        <w:rPr>
          <w:color w:val="1A1A1A"/>
          <w:sz w:val="21"/>
          <w:szCs w:val="21"/>
        </w:rPr>
        <w:t xml:space="preserve">Conduction through composite material layers, treated as resistances in series.</w:t>
      </w:r>
    </w:p>
    <w:p>
      <w:pPr>
        <w:pStyle w:val="ListParagraph"/>
        <w:numPr>
          <w:ilvl w:val="0"/>
          <w:numId w:val="2"/>
        </w:numPr>
        <w:spacing w:after="90"/>
      </w:pPr>
      <w:r>
        <w:rPr>
          <w:color w:val="1A1A1A"/>
          <w:sz w:val="21"/>
          <w:szCs w:val="21"/>
        </w:rPr>
        <w:t xml:space="preserve">Radiative exchange with the environment, including incident solar rays at exterior surfaces.</w:t>
      </w:r>
    </w:p>
    <w:p>
      <w:pPr>
        <w:spacing w:after="160" w:line="276"/>
      </w:pPr>
      <w:r>
        <w:rPr>
          <w:color w:val="1A1A1A"/>
          <w:sz w:val="21"/>
          <w:szCs w:val="21"/>
        </w:rPr>
        <w:t xml:space="preserve">The U-value approach allows designers to compare wall assemblies, window systems, and enclosure designs on a common basis, and is the foundation of building energy codes and insulation standards worldwide.</w:t>
      </w:r>
    </w:p>
    <w:p>
      <w:pPr>
        <w:pStyle w:val="Heading1"/>
        <w:pBdr>
          <w:bottom w:val="single" w:color="2E75B6" w:sz="6" w:space="4"/>
        </w:pBdr>
        <w:spacing w:after="200" w:before="400"/>
      </w:pPr>
      <w:r>
        <w:rPr>
          <w:b/>
          <w:bCs/>
          <w:color w:val="1F3864"/>
          <w:sz w:val="30"/>
          <w:szCs w:val="30"/>
        </w:rPr>
        <w:t xml:space="preserve">5. Heat Exchanger Flow Architecture</w:t>
      </w:r>
    </w:p>
    <w:p>
      <w:pPr>
        <w:spacing w:after="160" w:line="276"/>
      </w:pPr>
      <w:r>
        <w:rPr>
          <w:color w:val="1A1A1A"/>
          <w:sz w:val="21"/>
          <w:szCs w:val="21"/>
        </w:rPr>
        <w:t xml:space="preserve">Heat exchangers are devices that manipulate flow paths to transfer thermal energy between two fluids without allowing them to mix. The arrangement of the two flow streams relative to one another has a first-order effect on exchanger performance.</w:t>
      </w:r>
    </w:p>
    <w:p>
      <w:pPr>
        <w:pStyle w:val="Heading2"/>
        <w:spacing w:after="150" w:before="300"/>
      </w:pPr>
      <w:r>
        <w:rPr>
          <w:b/>
          <w:bCs/>
          <w:color w:val="2E75B6"/>
          <w:sz w:val="24"/>
          <w:szCs w:val="24"/>
        </w:rPr>
        <w:t xml:space="preserve">5.1 Parallel-Flow Configuration</w:t>
      </w:r>
    </w:p>
    <w:p>
      <w:pPr>
        <w:spacing w:after="160" w:line="276"/>
      </w:pPr>
      <w:r>
        <w:rPr>
          <w:color w:val="1A1A1A"/>
          <w:sz w:val="21"/>
          <w:szCs w:val="21"/>
        </w:rPr>
        <w:t xml:space="preserve">In a parallel-flow exchanger, both the hot and cold fluids travel in the same direction. The temperature difference between the two streams is largest at the inlet and narrows continuously along the length of the exchanger, asymptotically approaching a common exit temperature but never exceeding it.</w:t>
      </w:r>
    </w:p>
    <w:p>
      <w:pPr>
        <w:pStyle w:val="Heading2"/>
        <w:spacing w:after="150" w:before="300"/>
      </w:pPr>
      <w:r>
        <w:rPr>
          <w:b/>
          <w:bCs/>
          <w:color w:val="2E75B6"/>
          <w:sz w:val="24"/>
          <w:szCs w:val="24"/>
        </w:rPr>
        <w:t xml:space="preserve">5.2 Counter-Flow Configuration</w:t>
      </w:r>
    </w:p>
    <w:p>
      <w:pPr>
        <w:spacing w:after="160" w:line="276"/>
      </w:pPr>
      <w:r>
        <w:rPr>
          <w:color w:val="1A1A1A"/>
          <w:sz w:val="21"/>
          <w:szCs w:val="21"/>
        </w:rPr>
        <w:t xml:space="preserve">In a counter-flow exchanger, the two fluids travel in opposing directions. This arrangement maintains a more constant temperature gradient along the full length of the exchanger and, critically, allows the cold fluid to exit hotter than the hot fluid exits — an outcome that is physically impossible in a parallel-flow arrangement.</w:t>
      </w:r>
    </w:p>
    <w:p>
      <w:pPr>
        <w:spacing w:after="160" w:line="276"/>
      </w:pPr>
      <w:r>
        <w:rPr>
          <w:color w:val="1A1A1A"/>
          <w:sz w:val="21"/>
          <w:szCs w:val="21"/>
        </w:rPr>
        <w:t xml:space="preserve">As a result, counter-flow designs provide significantly higher thermal effectiveness than parallel-flow designs of equivalent size, which is why counter-flow (or its close relative, cross-counter-flow) is the preferred architecture for most high-performance industrial and process heat exchangers.</w:t>
      </w:r>
    </w:p>
    <w:p>
      <w:pPr>
        <w:pStyle w:val="Heading1"/>
        <w:pBdr>
          <w:bottom w:val="single" w:color="2E75B6" w:sz="6" w:space="4"/>
        </w:pBdr>
        <w:spacing w:after="200" w:before="400"/>
      </w:pPr>
      <w:r>
        <w:rPr>
          <w:b/>
          <w:bCs/>
          <w:color w:val="1F3864"/>
          <w:sz w:val="30"/>
          <w:szCs w:val="30"/>
        </w:rPr>
        <w:t xml:space="preserve">6. Optimizing Surfaces and Phases to Accelerate Transfer</w:t>
      </w:r>
    </w:p>
    <w:p>
      <w:pPr>
        <w:pStyle w:val="Heading2"/>
        <w:spacing w:after="150" w:before="300"/>
      </w:pPr>
      <w:r>
        <w:rPr>
          <w:b/>
          <w:bCs/>
          <w:color w:val="2E75B6"/>
          <w:sz w:val="24"/>
          <w:szCs w:val="24"/>
        </w:rPr>
        <w:t xml:space="preserve">6.1 Geometry and Extended Surfaces (Fins)</w:t>
      </w:r>
    </w:p>
    <w:p>
      <w:pPr>
        <w:spacing w:after="160" w:line="276"/>
      </w:pPr>
      <w:r>
        <w:rPr>
          <w:color w:val="1A1A1A"/>
          <w:sz w:val="21"/>
          <w:szCs w:val="21"/>
        </w:rPr>
        <w:t xml:space="preserve">Since convective heat transfer scales directly with surface area, fins are used to geometrically expand the available surface area in contact with a fluid, drastically accelerating convective heat transfer without increasing the driving temperature difference. This principle underlies heat sink design in electronics cooling and finned-tube design in radiators.</w:t>
      </w:r>
    </w:p>
    <w:p>
      <w:pPr>
        <w:pStyle w:val="Heading2"/>
        <w:spacing w:after="150" w:before="300"/>
      </w:pPr>
      <w:r>
        <w:rPr>
          <w:b/>
          <w:bCs/>
          <w:color w:val="2E75B6"/>
          <w:sz w:val="24"/>
          <w:szCs w:val="24"/>
        </w:rPr>
        <w:t xml:space="preserve">6.2 Phase-Change Heat Transfer</w:t>
      </w:r>
    </w:p>
    <w:p>
      <w:pPr>
        <w:spacing w:after="160" w:line="276"/>
      </w:pPr>
      <w:r>
        <w:rPr>
          <w:color w:val="1A1A1A"/>
          <w:sz w:val="21"/>
          <w:szCs w:val="21"/>
        </w:rPr>
        <w:t xml:space="preserve">State changes absorb or release substantially more energy per unit mass than sensible heating or cooling, making phase-change processes an efficient tool for high heat-flux applications such as boiling and condensation heat exchangers.</w:t>
      </w:r>
    </w:p>
    <w:p>
      <w:pPr>
        <w:pStyle w:val="ListParagraph"/>
        <w:numPr>
          <w:ilvl w:val="0"/>
          <w:numId w:val="2"/>
        </w:numPr>
        <w:spacing w:after="90"/>
      </w:pPr>
      <w:r>
        <w:rPr>
          <w:color w:val="1A1A1A"/>
          <w:sz w:val="21"/>
          <w:szCs w:val="21"/>
        </w:rPr>
        <w:t xml:space="preserve">Filmwise condensation — condensate forms a continuous liquid film across the surface, which itself adds thermal resistance.</w:t>
      </w:r>
    </w:p>
    <w:p>
      <w:pPr>
        <w:pStyle w:val="ListParagraph"/>
        <w:numPr>
          <w:ilvl w:val="0"/>
          <w:numId w:val="2"/>
        </w:numPr>
        <w:spacing w:after="90"/>
      </w:pPr>
      <w:r>
        <w:rPr>
          <w:color w:val="1A1A1A"/>
          <w:sz w:val="21"/>
          <w:szCs w:val="21"/>
        </w:rPr>
        <w:t xml:space="preserve">Dropwise condensation — condensate forms discrete droplets that shed from the surface, consistently providing higher heat-transfer coefficients than filmwise condensation because the surface is more frequently exposed to vapor.</w:t>
      </w:r>
    </w:p>
    <w:p>
      <w:pPr>
        <w:pStyle w:val="ListParagraph"/>
        <w:numPr>
          <w:ilvl w:val="0"/>
          <w:numId w:val="2"/>
        </w:numPr>
        <w:spacing w:after="90"/>
      </w:pPr>
      <w:r>
        <w:rPr>
          <w:color w:val="1A1A1A"/>
          <w:sz w:val="21"/>
          <w:szCs w:val="21"/>
        </w:rPr>
        <w:t xml:space="preserve">Boiling similarly shifts between pool boiling and flow boiling regimes, each with distinct heat-transfer coefficient behavior as a function of surface superheat.</w:t>
      </w:r>
    </w:p>
    <w:p>
      <w:pPr>
        <w:pStyle w:val="Heading1"/>
        <w:pBdr>
          <w:bottom w:val="single" w:color="2E75B6" w:sz="6" w:space="4"/>
        </w:pBdr>
        <w:spacing w:after="200" w:before="400"/>
      </w:pPr>
      <w:r>
        <w:rPr>
          <w:b/>
          <w:bCs/>
          <w:color w:val="1F3864"/>
          <w:sz w:val="30"/>
          <w:szCs w:val="30"/>
        </w:rPr>
        <w:t xml:space="preserve">7. Engineering Applications and Design Constraints</w:t>
      </w:r>
    </w:p>
    <w:p>
      <w:pPr>
        <w:spacing w:after="160" w:line="276"/>
      </w:pPr>
      <w:r>
        <w:rPr>
          <w:color w:val="1A1A1A"/>
          <w:sz w:val="21"/>
          <w:szCs w:val="21"/>
        </w:rPr>
        <w:t xml:space="preserve">From cooling microscopic electronics to managing the immense output of power plants, mastering thermal dynamics is a prerequisite for modern engineering innovation. Understanding heat transfer is the key to maximizing energy efficiency, ensuring critical equipment safety, and unlocking next-generation product performance.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F3864" w:val="clear"/>
            <w:tcMar>
              <w:top w:type="dxa" w:w="100"/>
              <w:left w:type="dxa" w:w="120"/>
              <w:bottom w:type="dxa" w:w="100"/>
              <w:right w:type="dxa" w:w="120"/>
            </w:tcMar>
            <w:vAlign w:val="center"/>
          </w:tcPr>
          <w:p>
            <w:pPr>
              <w:jc w:val="center"/>
            </w:pPr>
            <w:r>
              <w:rPr>
                <w:b/>
                <w:bCs/>
                <w:color w:val="FFFFFF"/>
                <w:sz w:val="20"/>
                <w:szCs w:val="20"/>
              </w:rPr>
              <w:t xml:space="preserve">System</w:t>
            </w:r>
          </w:p>
        </w:tc>
        <w:tc>
          <w:tcPr>
            <w:tcW w:type="dxa" w:w="7000"/>
            <w:shd w:fill="1F3864" w:val="clear"/>
            <w:tcMar>
              <w:top w:type="dxa" w:w="100"/>
              <w:left w:type="dxa" w:w="120"/>
              <w:bottom w:type="dxa" w:w="100"/>
              <w:right w:type="dxa" w:w="120"/>
            </w:tcMar>
            <w:vAlign w:val="center"/>
          </w:tcPr>
          <w:p>
            <w:pPr>
              <w:jc w:val="center"/>
            </w:pPr>
            <w:r>
              <w:rPr>
                <w:b/>
                <w:bCs/>
                <w:color w:val="FFFFFF"/>
                <w:sz w:val="20"/>
                <w:szCs w:val="20"/>
              </w:rPr>
              <w:t xml:space="preserve">Thermal Engineering Role</w:t>
            </w:r>
          </w:p>
        </w:tc>
      </w:tr>
      <w:tr>
        <w:tc>
          <w:tcPr>
            <w:tcW w:type="dxa" w:w="2400"/>
            <w:shd w:fill="DCE6F1" w:val="clear"/>
            <w:tcMar>
              <w:top w:type="dxa" w:w="90"/>
              <w:left w:type="dxa" w:w="120"/>
              <w:bottom w:type="dxa" w:w="90"/>
              <w:right w:type="dxa" w:w="120"/>
            </w:tcMar>
            <w:vAlign w:val="center"/>
          </w:tcPr>
          <w:p>
            <w:r>
              <w:rPr>
                <w:b/>
                <w:bCs/>
                <w:color w:val="1A1A1A"/>
                <w:sz w:val="19"/>
                <w:szCs w:val="19"/>
              </w:rPr>
              <w:t xml:space="preserve">Gas Turbines / Jet Engines</w:t>
            </w:r>
          </w:p>
        </w:tc>
        <w:tc>
          <w:tcPr>
            <w:tcW w:type="dxa" w:w="7000"/>
            <w:shd w:fill="FFFFFF" w:val="clear"/>
            <w:tcMar>
              <w:top w:type="dxa" w:w="90"/>
              <w:left w:type="dxa" w:w="120"/>
              <w:bottom w:type="dxa" w:w="90"/>
              <w:right w:type="dxa" w:w="120"/>
            </w:tcMar>
            <w:vAlign w:val="center"/>
          </w:tcPr>
          <w:p>
            <w:r>
              <w:rPr>
                <w:b w:val="false"/>
                <w:bCs w:val="false"/>
                <w:color w:val="1A1A1A"/>
                <w:sz w:val="19"/>
                <w:szCs w:val="19"/>
              </w:rPr>
              <w:t xml:space="preserve">Combustor liners, blade cooling passages, and thermal barrier coatings manage extreme radiative and convective loads to protect metal components near their melting limits.</w:t>
            </w:r>
          </w:p>
        </w:tc>
      </w:tr>
      <w:tr>
        <w:tc>
          <w:tcPr>
            <w:tcW w:type="dxa" w:w="2400"/>
            <w:shd w:fill="DCE6F1" w:val="clear"/>
            <w:tcMar>
              <w:top w:type="dxa" w:w="90"/>
              <w:left w:type="dxa" w:w="120"/>
              <w:bottom w:type="dxa" w:w="90"/>
              <w:right w:type="dxa" w:w="120"/>
            </w:tcMar>
            <w:vAlign w:val="center"/>
          </w:tcPr>
          <w:p>
            <w:r>
              <w:rPr>
                <w:b/>
                <w:bCs/>
                <w:color w:val="1A1A1A"/>
                <w:sz w:val="19"/>
                <w:szCs w:val="19"/>
              </w:rPr>
              <w:t xml:space="preserve">Automotive Radiators</w:t>
            </w:r>
          </w:p>
        </w:tc>
        <w:tc>
          <w:tcPr>
            <w:tcW w:type="dxa" w:w="7000"/>
            <w:shd w:fill="FFFFFF" w:val="clear"/>
            <w:tcMar>
              <w:top w:type="dxa" w:w="90"/>
              <w:left w:type="dxa" w:w="120"/>
              <w:bottom w:type="dxa" w:w="90"/>
              <w:right w:type="dxa" w:w="120"/>
            </w:tcMar>
            <w:vAlign w:val="center"/>
          </w:tcPr>
          <w:p>
            <w:r>
              <w:rPr>
                <w:b w:val="false"/>
                <w:bCs w:val="false"/>
                <w:color w:val="1A1A1A"/>
                <w:sz w:val="19"/>
                <w:szCs w:val="19"/>
              </w:rPr>
              <w:t xml:space="preserve">Coolant-to-air heat exchangers rely on forced convection and finned surfaces to reject engine heat within tight packaging constraints.</w:t>
            </w:r>
          </w:p>
        </w:tc>
      </w:tr>
      <w:tr>
        <w:tc>
          <w:tcPr>
            <w:tcW w:type="dxa" w:w="2400"/>
            <w:shd w:fill="DCE6F1" w:val="clear"/>
            <w:tcMar>
              <w:top w:type="dxa" w:w="90"/>
              <w:left w:type="dxa" w:w="120"/>
              <w:bottom w:type="dxa" w:w="90"/>
              <w:right w:type="dxa" w:w="120"/>
            </w:tcMar>
            <w:vAlign w:val="center"/>
          </w:tcPr>
          <w:p>
            <w:r>
              <w:rPr>
                <w:b/>
                <w:bCs/>
                <w:color w:val="1A1A1A"/>
                <w:sz w:val="19"/>
                <w:szCs w:val="19"/>
              </w:rPr>
              <w:t xml:space="preserve">Microelectronics / CPUs</w:t>
            </w:r>
          </w:p>
        </w:tc>
        <w:tc>
          <w:tcPr>
            <w:tcW w:type="dxa" w:w="7000"/>
            <w:shd w:fill="FFFFFF" w:val="clear"/>
            <w:tcMar>
              <w:top w:type="dxa" w:w="90"/>
              <w:left w:type="dxa" w:w="120"/>
              <w:bottom w:type="dxa" w:w="90"/>
              <w:right w:type="dxa" w:w="120"/>
            </w:tcMar>
            <w:vAlign w:val="center"/>
          </w:tcPr>
          <w:p>
            <w:r>
              <w:rPr>
                <w:b w:val="false"/>
                <w:bCs w:val="false"/>
                <w:color w:val="1A1A1A"/>
                <w:sz w:val="19"/>
                <w:szCs w:val="19"/>
              </w:rPr>
              <w:t xml:space="preserve">Heat sinks, vapor chambers, and fin arrays manage extremely high heat flux densities from a small die area to prevent thermal throttling or failure.</w:t>
            </w:r>
          </w:p>
        </w:tc>
      </w:tr>
      <w:tr>
        <w:tc>
          <w:tcPr>
            <w:tcW w:type="dxa" w:w="2400"/>
            <w:shd w:fill="DCE6F1" w:val="clear"/>
            <w:tcMar>
              <w:top w:type="dxa" w:w="90"/>
              <w:left w:type="dxa" w:w="120"/>
              <w:bottom w:type="dxa" w:w="90"/>
              <w:right w:type="dxa" w:w="120"/>
            </w:tcMar>
            <w:vAlign w:val="center"/>
          </w:tcPr>
          <w:p>
            <w:r>
              <w:rPr>
                <w:b/>
                <w:bCs/>
                <w:color w:val="1A1A1A"/>
                <w:sz w:val="19"/>
                <w:szCs w:val="19"/>
              </w:rPr>
              <w:t xml:space="preserve">Power Electronics / PCBs</w:t>
            </w:r>
          </w:p>
        </w:tc>
        <w:tc>
          <w:tcPr>
            <w:tcW w:type="dxa" w:w="7000"/>
            <w:shd w:fill="FFFFFF" w:val="clear"/>
            <w:tcMar>
              <w:top w:type="dxa" w:w="90"/>
              <w:left w:type="dxa" w:w="120"/>
              <w:bottom w:type="dxa" w:w="90"/>
              <w:right w:type="dxa" w:w="120"/>
            </w:tcMar>
            <w:vAlign w:val="center"/>
          </w:tcPr>
          <w:p>
            <w:r>
              <w:rPr>
                <w:b w:val="false"/>
                <w:bCs w:val="false"/>
                <w:color w:val="1A1A1A"/>
                <w:sz w:val="19"/>
                <w:szCs w:val="19"/>
              </w:rPr>
              <w:t xml:space="preserve">Conduction through copper planes and thermal vias, combined with convective airflow, keeps semiconductor junction temperatures within safe operating limits.</w:t>
            </w:r>
          </w:p>
        </w:tc>
      </w:tr>
      <w:tr>
        <w:tc>
          <w:tcPr>
            <w:tcW w:type="dxa" w:w="2400"/>
            <w:shd w:fill="DCE6F1" w:val="clear"/>
            <w:tcMar>
              <w:top w:type="dxa" w:w="90"/>
              <w:left w:type="dxa" w:w="120"/>
              <w:bottom w:type="dxa" w:w="90"/>
              <w:right w:type="dxa" w:w="120"/>
            </w:tcMar>
            <w:vAlign w:val="center"/>
          </w:tcPr>
          <w:p>
            <w:r>
              <w:rPr>
                <w:b/>
                <w:bCs/>
                <w:color w:val="1A1A1A"/>
                <w:sz w:val="19"/>
                <w:szCs w:val="19"/>
              </w:rPr>
              <w:t xml:space="preserve">HVAC &amp; Building Envelopes</w:t>
            </w:r>
          </w:p>
        </w:tc>
        <w:tc>
          <w:tcPr>
            <w:tcW w:type="dxa" w:w="7000"/>
            <w:shd w:fill="FFFFFF" w:val="clear"/>
            <w:tcMar>
              <w:top w:type="dxa" w:w="90"/>
              <w:left w:type="dxa" w:w="120"/>
              <w:bottom w:type="dxa" w:w="90"/>
              <w:right w:type="dxa" w:w="120"/>
            </w:tcMar>
            <w:vAlign w:val="center"/>
          </w:tcPr>
          <w:p>
            <w:r>
              <w:rPr>
                <w:b w:val="false"/>
                <w:bCs w:val="false"/>
                <w:color w:val="1A1A1A"/>
                <w:sz w:val="19"/>
                <w:szCs w:val="19"/>
              </w:rPr>
              <w:t xml:space="preserve">U-values quantify combined conduction, convection, and radiation losses through walls and windows, driving insulation and energy-code decisions.</w:t>
            </w:r>
          </w:p>
        </w:tc>
      </w:tr>
      <w:tr>
        <w:tc>
          <w:tcPr>
            <w:tcW w:type="dxa" w:w="2400"/>
            <w:shd w:fill="DCE6F1" w:val="clear"/>
            <w:tcMar>
              <w:top w:type="dxa" w:w="90"/>
              <w:left w:type="dxa" w:w="120"/>
              <w:bottom w:type="dxa" w:w="90"/>
              <w:right w:type="dxa" w:w="120"/>
            </w:tcMar>
            <w:vAlign w:val="center"/>
          </w:tcPr>
          <w:p>
            <w:r>
              <w:rPr>
                <w:b/>
                <w:bCs/>
                <w:color w:val="1A1A1A"/>
                <w:sz w:val="19"/>
                <w:szCs w:val="19"/>
              </w:rPr>
              <w:t xml:space="preserve">Process &amp; Power Plant Exchangers</w:t>
            </w:r>
          </w:p>
        </w:tc>
        <w:tc>
          <w:tcPr>
            <w:tcW w:type="dxa" w:w="7000"/>
            <w:shd w:fill="FFFFFF" w:val="clear"/>
            <w:tcMar>
              <w:top w:type="dxa" w:w="90"/>
              <w:left w:type="dxa" w:w="120"/>
              <w:bottom w:type="dxa" w:w="90"/>
              <w:right w:type="dxa" w:w="120"/>
            </w:tcMar>
            <w:vAlign w:val="center"/>
          </w:tcPr>
          <w:p>
            <w:r>
              <w:rPr>
                <w:b w:val="false"/>
                <w:bCs w:val="false"/>
                <w:color w:val="1A1A1A"/>
                <w:sz w:val="19"/>
                <w:szCs w:val="19"/>
              </w:rPr>
              <w:t xml:space="preserve">Counter-flow shell-and-tube and plate exchangers maximize thermal effectiveness for steam generation, condensation, and process heating.</w:t>
            </w:r>
          </w:p>
        </w:tc>
      </w:tr>
    </w:tbl>
    <w:p>
      <w:pPr>
        <w:spacing w:after="240" w:before="60"/>
      </w:pPr>
      <w:r>
        <w:rPr>
          <w:i/>
          <w:iCs/>
          <w:color w:val="595959"/>
          <w:sz w:val="18"/>
          <w:szCs w:val="18"/>
        </w:rPr>
        <w:t xml:space="preserve">Table 2 — Representative engineering systems governed by the principles in this report.</w:t>
      </w:r>
    </w:p>
    <w:p>
      <w:pPr>
        <w:pStyle w:val="Heading1"/>
        <w:pBdr>
          <w:bottom w:val="single" w:color="2E75B6" w:sz="6" w:space="4"/>
        </w:pBdr>
        <w:spacing w:after="200" w:before="400"/>
      </w:pPr>
      <w:r>
        <w:rPr>
          <w:b/>
          <w:bCs/>
          <w:color w:val="1F3864"/>
          <w:sz w:val="30"/>
          <w:szCs w:val="30"/>
        </w:rPr>
        <w:t xml:space="preserve">8. Conclusion</w:t>
      </w:r>
    </w:p>
    <w:p>
      <w:pPr>
        <w:spacing w:after="160" w:line="276"/>
      </w:pPr>
      <w:r>
        <w:rPr>
          <w:color w:val="1A1A1A"/>
          <w:sz w:val="21"/>
          <w:szCs w:val="21"/>
        </w:rPr>
        <w:t xml:space="preserve">Conduction, convection, and radiation are not competing theories but complementary tools within a single, unbreakable physical rule: heat flows from hot to cold until equilibrium is reached. Engineering practice consists of selecting materials, geometries, flow arrangements, and phase states that direct this inevitable flow toward a system's performance objectives — whether that means rejecting heat fast enough to protect a turbine blade, or slowing it down enough to keep a building efficient.</w:t>
      </w:r>
    </w:p>
    <w:p>
      <w:pPr>
        <w:spacing w:after="160" w:line="276"/>
      </w:pPr>
      <w:r>
        <w:rPr>
          <w:color w:val="1A1A1A"/>
          <w:sz w:val="21"/>
          <w:szCs w:val="21"/>
        </w:rPr>
        <w:t xml:space="preserve">As component power densities rise and systems are pushed toward tighter thermal margins, the combined-mode, U-value-based approach and counter-flow exchanger architectures described in this report will remain the standard toolkit for translating fundamental thermal physics into reliable, efficient engineering hardware.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2026-07-23T05:28:04.064Z</dcterms:created>
  <dcterms:modified xsi:type="dcterms:W3CDTF">2026-07-23T05:28:04.087Z</dcterms:modified>
</cp:coreProperties>
</file>

<file path=docProps/custom.xml><?xml version="1.0" encoding="utf-8"?>
<Properties xmlns="http://schemas.openxmlformats.org/officeDocument/2006/custom-properties" xmlns:vt="http://schemas.openxmlformats.org/officeDocument/2006/docPropsVTypes"/>
</file>