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716D" w14:textId="791BDC6C" w:rsidR="00DA10CC" w:rsidRDefault="0EF7DF14" w:rsidP="0E62992E">
      <w:pPr>
        <w:pStyle w:val="Heading2"/>
        <w:spacing w:before="0"/>
        <w:jc w:val="both"/>
      </w:pPr>
      <w:r w:rsidRPr="0E62992E">
        <w:rPr>
          <w:rFonts w:ascii="Times New Roman" w:eastAsia="Times New Roman" w:hAnsi="Times New Roman" w:cs="Times New Roman"/>
          <w:b/>
          <w:bCs/>
          <w:color w:val="000000" w:themeColor="text1"/>
        </w:rPr>
        <w:t>Abstract</w:t>
      </w:r>
    </w:p>
    <w:p w14:paraId="29A22CB2" w14:textId="09F08B85" w:rsidR="2ED5866D" w:rsidRDefault="2ED5866D" w:rsidP="0E62992E">
      <w:pPr>
        <w:spacing w:before="200" w:after="240"/>
        <w:jc w:val="both"/>
      </w:pPr>
      <w:r w:rsidRPr="0E62992E">
        <w:rPr>
          <w:rFonts w:ascii="Times New Roman" w:eastAsia="Times New Roman" w:hAnsi="Times New Roman" w:cs="Times New Roman"/>
          <w:b/>
          <w:bCs/>
          <w:color w:val="000000" w:themeColor="text1"/>
          <w:sz w:val="20"/>
          <w:szCs w:val="20"/>
        </w:rPr>
        <w:t xml:space="preserve">The fast growth of cloud computing has made organizations depend more on cloud service providers who offer cost-efficient solutions for building scalable applications. The use of a single cloud provider creates vendor lock-in which restricts pricing options and heightens the possibility of service interruptions. The operational model of multi-cloud computing enables applications to function on different cloud platforms but creates difficulties that involve transferring workloads, achieving system compatibility, evaluating expenses, and maintaining service operations. </w:t>
      </w:r>
    </w:p>
    <w:p w14:paraId="4E8D9A5C" w14:textId="16D6D12B" w:rsidR="2ED5866D" w:rsidRDefault="2ED5866D" w:rsidP="0E62992E">
      <w:pPr>
        <w:spacing w:before="200" w:after="240"/>
        <w:jc w:val="both"/>
      </w:pPr>
      <w:r w:rsidRPr="0E62992E">
        <w:rPr>
          <w:rFonts w:ascii="Times New Roman" w:eastAsia="Times New Roman" w:hAnsi="Times New Roman" w:cs="Times New Roman"/>
          <w:b/>
          <w:bCs/>
          <w:color w:val="000000" w:themeColor="text1"/>
          <w:sz w:val="20"/>
          <w:szCs w:val="20"/>
        </w:rPr>
        <w:t xml:space="preserve">The Smart Multi-Cloud Workload Migrator project enables users to make intelligent decisions about workload movement between different cloud systems. The system uses container-based standardization to achieve application portability across multiple cloud platforms which include AWS and Azure and Google Cloud without using complex virtual machine migration methods. The system uses a domain-name-based traffic redirection mechanism with low Time-To-Live (TTL) DNS records to maintain service accessibility for users who experience service interruption from public IP address changes during system migration. </w:t>
      </w:r>
    </w:p>
    <w:p w14:paraId="556F1F12" w14:textId="5D559CBD" w:rsidR="2ED5866D" w:rsidRDefault="2ED5866D" w:rsidP="0E62992E">
      <w:pPr>
        <w:spacing w:before="200" w:after="240"/>
        <w:jc w:val="both"/>
      </w:pPr>
      <w:r w:rsidRPr="0E62992E">
        <w:rPr>
          <w:rFonts w:ascii="Times New Roman" w:eastAsia="Times New Roman" w:hAnsi="Times New Roman" w:cs="Times New Roman"/>
          <w:b/>
          <w:bCs/>
          <w:color w:val="000000" w:themeColor="text1"/>
          <w:sz w:val="20"/>
          <w:szCs w:val="20"/>
        </w:rPr>
        <w:t xml:space="preserve">The system uses a decision-based cloud selection engine which assesses cloud providers through their expenses and performance metrics and system uptime and user requirements to suggest the best migration paths. The proposed solution achieves its benefits through the combination of containerization and DNS-based service continuity and user-centric decision making which decreases vendor lock-in while boosting cost efficiency and system reliability in multi-cloud environments. The system maintains </w:t>
      </w:r>
      <w:r w:rsidRPr="0E62992E">
        <w:rPr>
          <w:rFonts w:ascii="Times New Roman" w:eastAsia="Times New Roman" w:hAnsi="Times New Roman" w:cs="Times New Roman"/>
          <w:b/>
          <w:bCs/>
          <w:color w:val="000000" w:themeColor="text1"/>
          <w:sz w:val="20"/>
          <w:szCs w:val="20"/>
        </w:rPr>
        <w:t>practical functions which enable it to grow while remaining suitable for actual use and academic research.</w:t>
      </w:r>
    </w:p>
    <w:p w14:paraId="7934A94B" w14:textId="74465DFB" w:rsidR="00DA10CC" w:rsidRDefault="7A3CAFE6" w:rsidP="0E62992E">
      <w:pPr>
        <w:pStyle w:val="Heading2"/>
        <w:spacing w:before="360"/>
        <w:jc w:val="both"/>
      </w:pPr>
      <w:r w:rsidRPr="4D698771">
        <w:rPr>
          <w:rFonts w:ascii="Times New Roman" w:eastAsia="Times New Roman" w:hAnsi="Times New Roman" w:cs="Times New Roman"/>
          <w:b/>
          <w:bCs/>
          <w:color w:val="000000" w:themeColor="text1"/>
          <w:sz w:val="34"/>
          <w:szCs w:val="34"/>
        </w:rPr>
        <w:t>1</w:t>
      </w:r>
      <w:r w:rsidR="0EF7DF14" w:rsidRPr="4D698771">
        <w:rPr>
          <w:rFonts w:ascii="Times New Roman" w:eastAsia="Times New Roman" w:hAnsi="Times New Roman" w:cs="Times New Roman"/>
          <w:b/>
          <w:bCs/>
          <w:color w:val="000000" w:themeColor="text1"/>
          <w:sz w:val="34"/>
          <w:szCs w:val="34"/>
        </w:rPr>
        <w:t>. INTRODUCTION</w:t>
      </w:r>
    </w:p>
    <w:p w14:paraId="546E7FA1" w14:textId="08642F4F" w:rsidR="00DA10CC" w:rsidRDefault="6A3D8630" w:rsidP="0E62992E">
      <w:pPr>
        <w:spacing w:before="240" w:after="240"/>
        <w:jc w:val="both"/>
      </w:pPr>
      <w:r w:rsidRPr="0E62992E">
        <w:rPr>
          <w:rFonts w:ascii="Times New Roman" w:eastAsia="Times New Roman" w:hAnsi="Times New Roman" w:cs="Times New Roman"/>
          <w:color w:val="000000" w:themeColor="text1"/>
          <w:sz w:val="22"/>
          <w:szCs w:val="22"/>
        </w:rPr>
        <w:t>Cloud computing has become the primary method that enables users to access computing resources through Internet-based on-demand services. Organizations can implement and handle their applications through cloud platforms because these platforms simplify infrastructure management and provide flexible resource expansion capabilities which require lower initial costs and decreased operational expenses. Major cloud service providers (CSPs) such as Amazon Web Services (AWS), Microsoft Azure, and Google Cloud Platform (GCP) provide multiple services which differ in their pricing systems and operational performance and service delivery locations and service-level agreements (SLAs) [1], [2].</w:t>
      </w:r>
    </w:p>
    <w:p w14:paraId="400A0ECD" w14:textId="2790BBA0" w:rsidR="00DA10CC" w:rsidRDefault="6A3D8630" w:rsidP="0E62992E">
      <w:pPr>
        <w:spacing w:before="240" w:after="240"/>
        <w:jc w:val="both"/>
      </w:pPr>
      <w:r w:rsidRPr="0E62992E">
        <w:rPr>
          <w:rFonts w:ascii="Times New Roman" w:eastAsia="Times New Roman" w:hAnsi="Times New Roman" w:cs="Times New Roman"/>
          <w:color w:val="000000" w:themeColor="text1"/>
          <w:sz w:val="22"/>
          <w:szCs w:val="22"/>
        </w:rPr>
        <w:t xml:space="preserve">Today most organizations use cloud resources from only one provider which creates various challenges despite the benefits that cloud technology delivers. Vendor lock-in restricts users from transferring their applications and data because they become unable to shift their workloads when their expenses rise or their service quality decreases or their compliance needs change. Single-provider systems create significant service interruptions when applications depend on one cloud service provider although cloud outages occur infrequently [3]. The difficulties which organizations face have resulted in increased demand for multi-cloud computing solutions </w:t>
      </w:r>
      <w:r w:rsidRPr="0E62992E">
        <w:rPr>
          <w:rFonts w:ascii="Times New Roman" w:eastAsia="Times New Roman" w:hAnsi="Times New Roman" w:cs="Times New Roman"/>
          <w:color w:val="000000" w:themeColor="text1"/>
          <w:sz w:val="22"/>
          <w:szCs w:val="22"/>
        </w:rPr>
        <w:lastRenderedPageBreak/>
        <w:t xml:space="preserve">which enable them to spread their applications and services across various cloud providers to achieve better system flexibility and operational resilience and expense management. </w:t>
      </w:r>
    </w:p>
    <w:p w14:paraId="6BCF4F01" w14:textId="0679D94D" w:rsidR="00DA10CC" w:rsidRDefault="6A3D8630" w:rsidP="0E62992E">
      <w:pPr>
        <w:spacing w:before="240" w:after="240"/>
        <w:jc w:val="both"/>
      </w:pPr>
      <w:r w:rsidRPr="0E62992E">
        <w:rPr>
          <w:rFonts w:ascii="Times New Roman" w:eastAsia="Times New Roman" w:hAnsi="Times New Roman" w:cs="Times New Roman"/>
          <w:color w:val="000000" w:themeColor="text1"/>
          <w:sz w:val="22"/>
          <w:szCs w:val="22"/>
        </w:rPr>
        <w:t>Multi-cloud computing enables organizations to choose their optimal cloud provider according to their workload requirements while accessing lower costs and maintaining independence from multiple vendors [4]. Although multi-cloud systems offer promising benefits, they bring major technology difficulties which organizations must tackle. Organizations need to navigate multiple obstacles which include different cloud infrastructure components and missing standard interfaces and diverse networking framework and workload migration and interoperability challenges [5].</w:t>
      </w:r>
    </w:p>
    <w:p w14:paraId="0D10FE26" w14:textId="446633DF" w:rsidR="6A3D8630" w:rsidRDefault="6A3D8630" w:rsidP="0E62992E">
      <w:pPr>
        <w:spacing w:before="240" w:after="240"/>
        <w:jc w:val="both"/>
      </w:pPr>
      <w:r w:rsidRPr="0E62992E">
        <w:rPr>
          <w:rFonts w:ascii="Times New Roman" w:eastAsia="Times New Roman" w:hAnsi="Times New Roman" w:cs="Times New Roman"/>
          <w:color w:val="000000" w:themeColor="text1"/>
          <w:sz w:val="22"/>
          <w:szCs w:val="22"/>
        </w:rPr>
        <w:t>The process of moving workloads between different cloud platforms represents a major obstacle that exists in multi-cloud systems. The traditional methods for migrating clouds depend on two techniques which are virtual machine (VM) replication and live VM migration. The methods prove effective in data centers which operate with the same technology and in cloud federations which maintain close operational ties between their systems but they fail to perform effectively in public multi-cloud systems. Live VM migration between different cloud providers becomes challenging and expensive and often impossible to execute because of the different hypervisors and storage formats and network settings which exist between these two systems [6]. The use of VM-based migration methods restricts organizations from executing dynamic workload shifts between different systems in actual multi-cloud environments.</w:t>
      </w:r>
    </w:p>
    <w:p w14:paraId="4242C831" w14:textId="45DC736B" w:rsidR="6A3D8630" w:rsidRDefault="6A3D8630" w:rsidP="0E62992E">
      <w:pPr>
        <w:spacing w:before="240" w:after="240"/>
        <w:jc w:val="both"/>
      </w:pPr>
      <w:r w:rsidRPr="0E62992E">
        <w:rPr>
          <w:rFonts w:ascii="Times New Roman" w:eastAsia="Times New Roman" w:hAnsi="Times New Roman" w:cs="Times New Roman"/>
          <w:color w:val="000000" w:themeColor="text1"/>
          <w:sz w:val="22"/>
          <w:szCs w:val="22"/>
        </w:rPr>
        <w:t xml:space="preserve">Service continuity needs during migration operations are still not given proper attention because infrastructure systems already apply various technologies. The public IP addresses which cloud providers assign to applications </w:t>
      </w:r>
      <w:r w:rsidRPr="0E62992E">
        <w:rPr>
          <w:rFonts w:ascii="Times New Roman" w:eastAsia="Times New Roman" w:hAnsi="Times New Roman" w:cs="Times New Roman"/>
          <w:color w:val="000000" w:themeColor="text1"/>
          <w:sz w:val="22"/>
          <w:szCs w:val="22"/>
        </w:rPr>
        <w:t>change automatically when workloads move between different cloud providers. Applications that depend on static IP addresses experience connection failures and API call failures and service interruptions. Existing research on multi-cloud architectures and migration frameworks often assumes static network endpoints or overlooks the impact of IP address changes on application accessibility. This gap creates a major obstacle which prevents organizations from transferring their workloads between different cloud systems.</w:t>
      </w:r>
    </w:p>
    <w:p w14:paraId="42E0CDE4" w14:textId="403DF31C" w:rsidR="00DA10CC" w:rsidRDefault="6A3D8630" w:rsidP="0E62992E">
      <w:pPr>
        <w:spacing w:before="240" w:after="240"/>
        <w:jc w:val="both"/>
      </w:pPr>
      <w:r w:rsidRPr="0E62992E">
        <w:rPr>
          <w:rFonts w:ascii="Times New Roman" w:eastAsia="Times New Roman" w:hAnsi="Times New Roman" w:cs="Times New Roman"/>
          <w:color w:val="000000" w:themeColor="text1"/>
          <w:sz w:val="22"/>
          <w:szCs w:val="22"/>
        </w:rPr>
        <w:t xml:space="preserve">The latest containerization technologies which include Docker and Kubernetes offer new ways to achieve application portability between different environments. The container technology provides a complete solution because it bundles software together with all required dependencies and execution environments for use on multiple different systems. Containers provide a more efficient solution for cloud-native and microservices applications according to multiple research studies which show their benefits [9] [10]. Research studies dedicate most of their efforts to exploring container deployment and orchestration within single cloud environments instead of studying how to use container technology for multi-cloud migration through decision-making systems. </w:t>
      </w:r>
    </w:p>
    <w:p w14:paraId="7B72E4D9" w14:textId="3225AA87" w:rsidR="00DA10CC" w:rsidRDefault="6A3D8630" w:rsidP="0E62992E">
      <w:pPr>
        <w:spacing w:before="240" w:after="240"/>
        <w:jc w:val="both"/>
      </w:pPr>
      <w:r w:rsidRPr="0E62992E">
        <w:rPr>
          <w:rFonts w:ascii="Times New Roman" w:eastAsia="Times New Roman" w:hAnsi="Times New Roman" w:cs="Times New Roman"/>
          <w:color w:val="000000" w:themeColor="text1"/>
          <w:sz w:val="22"/>
          <w:szCs w:val="22"/>
        </w:rPr>
        <w:t xml:space="preserve">The current research on cloud selection and migration processes lacks essential user-oriented decision-making systems that researchers need to establish. The majority of research studies concentrate on optimizing resource utilization or decreasing infrastructure expenses from the viewpoint of cloud operators through their provider-side optimization research [11]. The existing cost-aware scheduling and cloud service ranking frameworks lack direct integration with the real workload migration operations that happen in practice [12]. The system does not provide users with practical tools which establish a single platform for comparing clouds assessing </w:t>
      </w:r>
      <w:r w:rsidRPr="0E62992E">
        <w:rPr>
          <w:rFonts w:ascii="Times New Roman" w:eastAsia="Times New Roman" w:hAnsi="Times New Roman" w:cs="Times New Roman"/>
          <w:color w:val="000000" w:themeColor="text1"/>
          <w:sz w:val="22"/>
          <w:szCs w:val="22"/>
        </w:rPr>
        <w:lastRenderedPageBreak/>
        <w:t>migration viability and ensuring service availability.</w:t>
      </w:r>
    </w:p>
    <w:p w14:paraId="1A28E0D2" w14:textId="79D3B0CC" w:rsidR="1F281FA0" w:rsidRDefault="1F281FA0" w:rsidP="0E62992E">
      <w:pPr>
        <w:spacing w:before="240" w:after="240"/>
        <w:jc w:val="both"/>
      </w:pPr>
      <w:r w:rsidRPr="0E62992E">
        <w:rPr>
          <w:rFonts w:ascii="Times New Roman" w:eastAsia="Times New Roman" w:hAnsi="Times New Roman" w:cs="Times New Roman"/>
          <w:color w:val="000000" w:themeColor="text1"/>
          <w:sz w:val="22"/>
          <w:szCs w:val="22"/>
        </w:rPr>
        <w:t xml:space="preserve">The current multi-cloud solutions which exist today lack the capability to enable users which requires them to switch between different cloud providers in a transparent and controlled manner. Users need to assess the different costs and performance levels and system availability and compliance requirements before they can transition their workloads to new environments with little interruption. The system needs common methods for deployment which can use network endpoints as abstracted elements to reach its desired level of flexibility. </w:t>
      </w:r>
    </w:p>
    <w:p w14:paraId="22361AE9" w14:textId="5E0AB4AD" w:rsidR="1F281FA0" w:rsidRDefault="1F281FA0" w:rsidP="0E62992E">
      <w:pPr>
        <w:spacing w:before="240" w:after="240"/>
        <w:jc w:val="both"/>
      </w:pPr>
      <w:r w:rsidRPr="0E62992E">
        <w:rPr>
          <w:rFonts w:ascii="Times New Roman" w:eastAsia="Times New Roman" w:hAnsi="Times New Roman" w:cs="Times New Roman"/>
          <w:color w:val="000000" w:themeColor="text1"/>
          <w:sz w:val="22"/>
          <w:szCs w:val="22"/>
        </w:rPr>
        <w:t>The Smart Multi-Cloud Workload Migrator project which this research presents enables users to move workloads between different cloud environments after they assess the most suitable options for their needs. The proposed system uses container-based standardization to achieve independence from all virtual machine specifications which belong to specific cloud platforms. The system achieves cross-cloud application portability through Docker container packaging which operates on managed container platforms like AWS Elastic Kubernetes Service and Azure Kubernetes Service and Google Kubernetes Engine.</w:t>
      </w:r>
    </w:p>
    <w:p w14:paraId="7979D7AF" w14:textId="3CBF1BBD" w:rsidR="00DA10CC" w:rsidRDefault="0EF7DF14" w:rsidP="0E62992E">
      <w:pPr>
        <w:spacing w:before="240" w:after="240"/>
        <w:jc w:val="both"/>
      </w:pPr>
      <w:r w:rsidRPr="0E62992E">
        <w:rPr>
          <w:rFonts w:ascii="Times New Roman" w:eastAsia="Times New Roman" w:hAnsi="Times New Roman" w:cs="Times New Roman"/>
          <w:color w:val="000000" w:themeColor="text1"/>
          <w:sz w:val="22"/>
          <w:szCs w:val="22"/>
        </w:rPr>
        <w:t>I</w:t>
      </w:r>
      <w:r w:rsidR="2B577E08" w:rsidRPr="0E62992E">
        <w:rPr>
          <w:rFonts w:ascii="Times New Roman" w:eastAsia="Times New Roman" w:hAnsi="Times New Roman" w:cs="Times New Roman"/>
          <w:color w:val="000000" w:themeColor="text1"/>
          <w:sz w:val="22"/>
          <w:szCs w:val="22"/>
        </w:rPr>
        <w:t xml:space="preserve"> The proposed solution needs a domain-name-based traffic redirection system to keep services running during the migration process. Users access applications through a fixed domain name which protects cloud-specific public IP addresses from being visible. DNS records undergo dynamic updates during migration which use low Time-To-Live (TTL) values to direct traffic toward the new cloud endpoint. The method creates an IP change abstraction which helps maintain service continuity while it solves a major research problem in multi-cloud migration studies.</w:t>
      </w:r>
    </w:p>
    <w:p w14:paraId="24BE1D2A" w14:textId="189D28F9" w:rsidR="00DA10CC" w:rsidRDefault="2B577E08" w:rsidP="0E62992E">
      <w:pPr>
        <w:spacing w:before="240" w:after="240"/>
        <w:jc w:val="both"/>
      </w:pPr>
      <w:r w:rsidRPr="0E62992E">
        <w:rPr>
          <w:rFonts w:ascii="Times New Roman" w:eastAsia="Times New Roman" w:hAnsi="Times New Roman" w:cs="Times New Roman"/>
          <w:color w:val="000000" w:themeColor="text1"/>
          <w:sz w:val="22"/>
          <w:szCs w:val="22"/>
        </w:rPr>
        <w:t xml:space="preserve">The system features a Smart Decision Engine which assesses cloud providers according to their cost and SLA and performance metrics </w:t>
      </w:r>
      <w:r w:rsidRPr="0E62992E">
        <w:rPr>
          <w:rFonts w:ascii="Times New Roman" w:eastAsia="Times New Roman" w:hAnsi="Times New Roman" w:cs="Times New Roman"/>
          <w:color w:val="000000" w:themeColor="text1"/>
          <w:sz w:val="22"/>
          <w:szCs w:val="22"/>
        </w:rPr>
        <w:t>and user preferences. The proposed framework enables user-centric multi-cloud decision-making through cloud comparison which works together with migration orchestration. The proposed system creates a unique solution through its complete method which handles migration together with cost analysis and networking problems which other systems address separately.</w:t>
      </w:r>
    </w:p>
    <w:p w14:paraId="77E8CEAE" w14:textId="72BB6961" w:rsidR="2B577E08" w:rsidRDefault="2B577E08" w:rsidP="0E62992E">
      <w:pPr>
        <w:spacing w:before="240" w:after="240"/>
        <w:jc w:val="both"/>
      </w:pPr>
      <w:r w:rsidRPr="4D698771">
        <w:rPr>
          <w:rFonts w:ascii="Times New Roman" w:eastAsia="Times New Roman" w:hAnsi="Times New Roman" w:cs="Times New Roman"/>
          <w:color w:val="000000" w:themeColor="text1"/>
          <w:sz w:val="22"/>
          <w:szCs w:val="22"/>
        </w:rPr>
        <w:t>The Smart Multi-Cloud Workload Migrator system works to connect theoretical multi-cloud systems with their actual implementation needs. The system achieves its objectives by combining three elements: container-based workload portability and DNS-based service continuity and decision-based cloud selection. The system seeks to decrease vendor lock-in while achieving better cost efficiency and increased reliability across multi-cloud environments.</w:t>
      </w:r>
    </w:p>
    <w:p w14:paraId="0FA81731" w14:textId="0C57B8A1" w:rsidR="78696B25" w:rsidRDefault="22D423AD" w:rsidP="4D698771">
      <w:pPr>
        <w:pStyle w:val="Heading2"/>
        <w:spacing w:before="360"/>
        <w:jc w:val="both"/>
      </w:pPr>
      <w:r w:rsidRPr="4D698771">
        <w:rPr>
          <w:rFonts w:ascii="Times New Roman" w:eastAsia="Times New Roman" w:hAnsi="Times New Roman" w:cs="Times New Roman"/>
          <w:b/>
          <w:bCs/>
          <w:color w:val="000000" w:themeColor="text1"/>
          <w:sz w:val="34"/>
          <w:szCs w:val="34"/>
        </w:rPr>
        <w:t>2. MOTIVATION</w:t>
      </w:r>
    </w:p>
    <w:p w14:paraId="7D36A867" w14:textId="48D05EF9" w:rsidR="78696B25" w:rsidRDefault="22D423AD" w:rsidP="4D698771">
      <w:pPr>
        <w:spacing w:before="240" w:after="240"/>
        <w:jc w:val="both"/>
      </w:pPr>
      <w:r w:rsidRPr="4D698771">
        <w:rPr>
          <w:rFonts w:ascii="Times New Roman" w:eastAsia="Times New Roman" w:hAnsi="Times New Roman" w:cs="Times New Roman"/>
          <w:color w:val="000000" w:themeColor="text1"/>
          <w:sz w:val="22"/>
          <w:szCs w:val="22"/>
        </w:rPr>
        <w:t>Cloud computing has fundamentally transformed the deployment and management of modern applications. Organizations increasingly rely on cloud platforms to deliver scalable, on-demand services to global users. However, despite the advantages of elasticity and reduced infrastructure overhead, practical challenges continue to limit the effective adoption of multi-cloud strategies.</w:t>
      </w:r>
    </w:p>
    <w:p w14:paraId="5FF0D74E" w14:textId="60FBDB84" w:rsidR="78696B25" w:rsidRDefault="22D423AD" w:rsidP="4D698771">
      <w:pPr>
        <w:spacing w:before="240" w:after="240"/>
        <w:jc w:val="both"/>
      </w:pPr>
      <w:r w:rsidRPr="4D698771">
        <w:rPr>
          <w:rFonts w:ascii="Times New Roman" w:eastAsia="Times New Roman" w:hAnsi="Times New Roman" w:cs="Times New Roman"/>
          <w:color w:val="000000" w:themeColor="text1"/>
          <w:sz w:val="22"/>
          <w:szCs w:val="22"/>
        </w:rPr>
        <w:t xml:space="preserve">A major concern in contemporary cloud environments is dependency on a single provider. While single-cloud deployment simplifies management, it introduces strategic risks. Changes in pricing models, service limitations, regulatory requirements, or unexpected outages can directly affect application performance and operational stability. In such scenarios, organizations often find that migrating workloads to an alternative provider is technically complex and operationally disruptive. The absence of structured migration mechanisms restricts true </w:t>
      </w:r>
      <w:r w:rsidRPr="4D698771">
        <w:rPr>
          <w:rFonts w:ascii="Times New Roman" w:eastAsia="Times New Roman" w:hAnsi="Times New Roman" w:cs="Times New Roman"/>
          <w:color w:val="000000" w:themeColor="text1"/>
          <w:sz w:val="22"/>
          <w:szCs w:val="22"/>
        </w:rPr>
        <w:lastRenderedPageBreak/>
        <w:t>flexibility and weakens the promise of cloud independence.</w:t>
      </w:r>
    </w:p>
    <w:p w14:paraId="38BD67A8" w14:textId="11FAC480" w:rsidR="78696B25" w:rsidRDefault="22D423AD" w:rsidP="4D698771">
      <w:pPr>
        <w:spacing w:before="240" w:after="240"/>
        <w:jc w:val="both"/>
      </w:pPr>
      <w:r w:rsidRPr="4D698771">
        <w:rPr>
          <w:rFonts w:ascii="Times New Roman" w:eastAsia="Times New Roman" w:hAnsi="Times New Roman" w:cs="Times New Roman"/>
          <w:color w:val="000000" w:themeColor="text1"/>
          <w:sz w:val="22"/>
          <w:szCs w:val="22"/>
        </w:rPr>
        <w:t>Traditional migration approaches rely heavily on virtual machine replication and infrastructure-level configuration adjustments. These methods are generally suitable within homogeneous environments but face significant challenges when applied across heterogeneous public cloud platforms. Differences in hypervisors, storage formats, networking architectures, and security policies increase migration complexity. As a result, cross-cloud VM migration becomes time-consuming, resource-intensive, and difficult to automate. These barriers discourage organizations from dynamically switching providers, even when business conditions demand it.</w:t>
      </w:r>
    </w:p>
    <w:p w14:paraId="4E6E5544" w14:textId="5C88FC65" w:rsidR="78696B25" w:rsidRDefault="22D423AD" w:rsidP="4D698771">
      <w:pPr>
        <w:spacing w:before="240" w:after="240"/>
        <w:jc w:val="both"/>
      </w:pPr>
      <w:r w:rsidRPr="4D698771">
        <w:rPr>
          <w:rFonts w:ascii="Times New Roman" w:eastAsia="Times New Roman" w:hAnsi="Times New Roman" w:cs="Times New Roman"/>
          <w:color w:val="000000" w:themeColor="text1"/>
          <w:sz w:val="22"/>
          <w:szCs w:val="22"/>
        </w:rPr>
        <w:t>Containerization technologies have improved workload portability by encapsulating applications and dependencies into standardized runtime units. Containers enable consistent deployment across diverse cloud environments, reducing configuration inconsistencies and simplifying deployment workflows. However, portability alone does not guarantee seamless migration. Many existing solutions focus on container deployment within a single cloud rather than enabling coordinated relocation across multiple providers. The lack of integrated migration orchestration limits the practical realization of multi-cloud mobility.</w:t>
      </w:r>
    </w:p>
    <w:p w14:paraId="1C3DABA0" w14:textId="3A7876A8" w:rsidR="78696B25" w:rsidRDefault="22D423AD" w:rsidP="4D698771">
      <w:pPr>
        <w:spacing w:before="240" w:after="240"/>
        <w:jc w:val="both"/>
      </w:pPr>
      <w:r w:rsidRPr="4D698771">
        <w:rPr>
          <w:rFonts w:ascii="Times New Roman" w:eastAsia="Times New Roman" w:hAnsi="Times New Roman" w:cs="Times New Roman"/>
          <w:color w:val="000000" w:themeColor="text1"/>
          <w:sz w:val="22"/>
          <w:szCs w:val="22"/>
        </w:rPr>
        <w:t xml:space="preserve">Service continuity during migration presents another critical challenge. When workloads are relocated between cloud providers, public IP addresses typically change. This can disrupt active sessions, break API integrations, and cause temporary downtime. DNS propagation delays may further delay traffic redirection, resulting in inconsistent user experiences. In real-world production systems, even brief service interruptions can lead to financial loss and reduced user trust. Ensuring uninterrupted </w:t>
      </w:r>
      <w:r w:rsidRPr="4D698771">
        <w:rPr>
          <w:rFonts w:ascii="Times New Roman" w:eastAsia="Times New Roman" w:hAnsi="Times New Roman" w:cs="Times New Roman"/>
          <w:color w:val="000000" w:themeColor="text1"/>
          <w:sz w:val="22"/>
          <w:szCs w:val="22"/>
        </w:rPr>
        <w:t>service access during cross-cloud transitions is therefore essential.</w:t>
      </w:r>
    </w:p>
    <w:p w14:paraId="77F6E331" w14:textId="6370DA2C" w:rsidR="78696B25" w:rsidRDefault="22D423AD" w:rsidP="4D698771">
      <w:pPr>
        <w:spacing w:before="240" w:after="240"/>
        <w:jc w:val="both"/>
      </w:pPr>
      <w:r w:rsidRPr="4D698771">
        <w:rPr>
          <w:rFonts w:ascii="Times New Roman" w:eastAsia="Times New Roman" w:hAnsi="Times New Roman" w:cs="Times New Roman"/>
          <w:color w:val="000000" w:themeColor="text1"/>
          <w:sz w:val="22"/>
          <w:szCs w:val="22"/>
        </w:rPr>
        <w:t>Economic optimization also drives the need for intelligent migration mechanisms. Cloud pricing varies across providers and geographic regions, and workload demand patterns may fluctuate over time. Organizations seek strategies to optimize operational costs while maintaining acceptable performance and reliability. Manual comparison of cloud providers based solely on static pricing information is inefficient and insufficient. A system capable of evaluating multiple decision parameters—including cost, performance, availability, and user-defined preferences—can significantly improve deployment efficiency and resource utilization.</w:t>
      </w:r>
    </w:p>
    <w:p w14:paraId="3E142E61" w14:textId="1C8F22E3" w:rsidR="78696B25" w:rsidRDefault="22D423AD" w:rsidP="4D698771">
      <w:pPr>
        <w:spacing w:before="240" w:after="240"/>
        <w:jc w:val="both"/>
      </w:pPr>
      <w:r w:rsidRPr="4D698771">
        <w:rPr>
          <w:rFonts w:ascii="Times New Roman" w:eastAsia="Times New Roman" w:hAnsi="Times New Roman" w:cs="Times New Roman"/>
          <w:color w:val="000000" w:themeColor="text1"/>
          <w:sz w:val="22"/>
          <w:szCs w:val="22"/>
        </w:rPr>
        <w:t>Resilience and fault tolerance further reinforce the importance of multi-cloud migration capabilities. Even major cloud providers occasionally experience service disruptions that impact dependent applications. Relying entirely on a single provider increases vulnerability to downtime risks. A controlled and automated migration framework enhances disaster recovery planning and enables faster response to performance degradation or outages. By enabling workload relocation with minimal disruption, overall system reliability can be improved.</w:t>
      </w:r>
    </w:p>
    <w:p w14:paraId="736449AD" w14:textId="6D437C00" w:rsidR="78696B25" w:rsidRDefault="22D423AD" w:rsidP="4D698771">
      <w:pPr>
        <w:spacing w:before="240" w:after="240"/>
        <w:jc w:val="both"/>
      </w:pPr>
      <w:r w:rsidRPr="4D698771">
        <w:rPr>
          <w:rFonts w:ascii="Times New Roman" w:eastAsia="Times New Roman" w:hAnsi="Times New Roman" w:cs="Times New Roman"/>
          <w:color w:val="000000" w:themeColor="text1"/>
          <w:sz w:val="22"/>
          <w:szCs w:val="22"/>
        </w:rPr>
        <w:t>Modern cloud-native applications also introduce architectural complexity. Microservices-based systems consist of multiple interdependent services that require coordinated deployment and scaling. Migrating such distributed architectures without automation increases the risk of misconfiguration and instability. Integrating container orchestration with traffic management mechanisms simplifies migration workflows and reduces operational errors.</w:t>
      </w:r>
    </w:p>
    <w:p w14:paraId="63768623" w14:textId="19BF2DF9" w:rsidR="78696B25" w:rsidRDefault="22D423AD" w:rsidP="4D698771">
      <w:pPr>
        <w:spacing w:before="240" w:after="240"/>
        <w:jc w:val="both"/>
        <w:rPr>
          <w:rFonts w:ascii="Times New Roman" w:eastAsia="Times New Roman" w:hAnsi="Times New Roman" w:cs="Times New Roman"/>
          <w:b/>
          <w:bCs/>
          <w:color w:val="000000" w:themeColor="text1"/>
          <w:sz w:val="34"/>
          <w:szCs w:val="34"/>
        </w:rPr>
      </w:pPr>
      <w:r w:rsidRPr="4D698771">
        <w:rPr>
          <w:rFonts w:ascii="Times New Roman" w:eastAsia="Times New Roman" w:hAnsi="Times New Roman" w:cs="Times New Roman"/>
          <w:color w:val="000000" w:themeColor="text1"/>
          <w:sz w:val="22"/>
          <w:szCs w:val="22"/>
        </w:rPr>
        <w:t xml:space="preserve">Collectively, these challenges highlight the need for a comprehensive solution that goes beyond basic container portability. A unified </w:t>
      </w:r>
      <w:r w:rsidRPr="4D698771">
        <w:rPr>
          <w:rFonts w:ascii="Times New Roman" w:eastAsia="Times New Roman" w:hAnsi="Times New Roman" w:cs="Times New Roman"/>
          <w:color w:val="000000" w:themeColor="text1"/>
          <w:sz w:val="22"/>
          <w:szCs w:val="22"/>
        </w:rPr>
        <w:lastRenderedPageBreak/>
        <w:t>framework combining container-based standardization, DNS-based service continuity, and intelligent decision-driven cloud selection can address vendor dependency, migration complexity, service disruption, economic optimization, and resilience requirements. Such an approach enables practical, scalable, and efficient multi-cloud workload mobility aligned with modern cloud-native practices.</w:t>
      </w:r>
    </w:p>
    <w:p w14:paraId="59E61C91" w14:textId="450BFE7B" w:rsidR="78696B25" w:rsidRDefault="2FA2D8BA" w:rsidP="34EEC583">
      <w:pPr>
        <w:spacing w:before="240" w:after="240"/>
        <w:jc w:val="both"/>
        <w:rPr>
          <w:rFonts w:ascii="Times New Roman" w:eastAsia="Times New Roman" w:hAnsi="Times New Roman" w:cs="Times New Roman"/>
          <w:b/>
          <w:bCs/>
          <w:color w:val="000000" w:themeColor="text1"/>
          <w:sz w:val="32"/>
          <w:szCs w:val="32"/>
        </w:rPr>
      </w:pPr>
      <w:r w:rsidRPr="34EEC583">
        <w:rPr>
          <w:rFonts w:ascii="Times New Roman" w:eastAsia="Times New Roman" w:hAnsi="Times New Roman" w:cs="Times New Roman"/>
          <w:b/>
          <w:bCs/>
          <w:color w:val="000000" w:themeColor="text1"/>
          <w:sz w:val="32"/>
          <w:szCs w:val="32"/>
        </w:rPr>
        <w:t xml:space="preserve">2.1. </w:t>
      </w:r>
      <w:r w:rsidR="78696B25" w:rsidRPr="34EEC583">
        <w:rPr>
          <w:rFonts w:ascii="Times New Roman" w:eastAsia="Times New Roman" w:hAnsi="Times New Roman" w:cs="Times New Roman"/>
          <w:b/>
          <w:bCs/>
          <w:color w:val="000000" w:themeColor="text1"/>
          <w:sz w:val="32"/>
          <w:szCs w:val="32"/>
        </w:rPr>
        <w:t>LITERATURE REVIEW</w:t>
      </w:r>
    </w:p>
    <w:p w14:paraId="289F5858" w14:textId="219E2FDD" w:rsidR="50751DD5" w:rsidRDefault="50751DD5" w:rsidP="0E62992E">
      <w:pPr>
        <w:spacing w:before="240" w:after="240"/>
        <w:jc w:val="both"/>
        <w:rPr>
          <w:rFonts w:ascii="Times New Roman" w:eastAsia="Times New Roman" w:hAnsi="Times New Roman" w:cs="Times New Roman"/>
          <w:color w:val="000000" w:themeColor="text1"/>
          <w:sz w:val="22"/>
          <w:szCs w:val="22"/>
        </w:rPr>
      </w:pPr>
      <w:r w:rsidRPr="0E62992E">
        <w:rPr>
          <w:rFonts w:ascii="Times New Roman" w:eastAsia="Times New Roman" w:hAnsi="Times New Roman" w:cs="Times New Roman"/>
          <w:color w:val="000000" w:themeColor="text1"/>
          <w:sz w:val="22"/>
          <w:szCs w:val="22"/>
        </w:rPr>
        <w:t xml:space="preserve">The development of intelligent systems for multi-cloud workload migration requires the integration of all advancements in container-based application portability-distributed system management-DNS traffic control-cloud brokerage systems-disaster recovery systems and distributed consistency principles. Existing research treats each of these fields as separate technical challenges while the domains themselves have achieved independent development. The existing body of research shows both advances in technology and existing issues of system disintegration which create the basis for this research. </w:t>
      </w:r>
    </w:p>
    <w:p w14:paraId="7AAF791D" w14:textId="7205B78B" w:rsidR="50751DD5" w:rsidRDefault="50751DD5" w:rsidP="0E62992E">
      <w:pPr>
        <w:spacing w:before="240" w:after="240"/>
        <w:jc w:val="both"/>
      </w:pPr>
      <w:r w:rsidRPr="0E62992E">
        <w:rPr>
          <w:rFonts w:ascii="Times New Roman" w:eastAsia="Times New Roman" w:hAnsi="Times New Roman" w:cs="Times New Roman"/>
          <w:color w:val="000000" w:themeColor="text1"/>
          <w:sz w:val="22"/>
          <w:szCs w:val="22"/>
        </w:rPr>
        <w:t xml:space="preserve">The historical development of cross-cloud workload mobility faced its first major obstacle from virtual machine (VM) migration techniques which restricted migration possibilities. The process of VM replication between various public cloud providers encounters difficulties because of differences in hypervisor technology and networking standards and storage formats and image transferability and identity management systems. The operational environment becomes more complicated because of these factors which needs operators to perform manual system adjustments. Containerization functions as a lightweight abstraction layer which separates application operation from infrastructure components. This separation enables applications to run consistently in different environments because developers can </w:t>
      </w:r>
      <w:r w:rsidRPr="0E62992E">
        <w:rPr>
          <w:rFonts w:ascii="Times New Roman" w:eastAsia="Times New Roman" w:hAnsi="Times New Roman" w:cs="Times New Roman"/>
          <w:color w:val="000000" w:themeColor="text1"/>
          <w:sz w:val="22"/>
          <w:szCs w:val="22"/>
        </w:rPr>
        <w:t>use standardized packaging methods and image transferability.</w:t>
      </w:r>
    </w:p>
    <w:p w14:paraId="57ABC781" w14:textId="2FF41E9D" w:rsidR="50751DD5" w:rsidRDefault="50751DD5" w:rsidP="0E62992E">
      <w:pPr>
        <w:spacing w:before="240" w:after="240"/>
        <w:jc w:val="both"/>
        <w:rPr>
          <w:rFonts w:ascii="Times New Roman" w:eastAsia="Times New Roman" w:hAnsi="Times New Roman" w:cs="Times New Roman"/>
          <w:color w:val="000000" w:themeColor="text1"/>
          <w:sz w:val="22"/>
          <w:szCs w:val="22"/>
        </w:rPr>
      </w:pPr>
      <w:r w:rsidRPr="0E62992E">
        <w:rPr>
          <w:rFonts w:ascii="Times New Roman" w:eastAsia="Times New Roman" w:hAnsi="Times New Roman" w:cs="Times New Roman"/>
          <w:color w:val="000000" w:themeColor="text1"/>
          <w:sz w:val="22"/>
          <w:szCs w:val="22"/>
        </w:rPr>
        <w:t xml:space="preserve">Research has extensively examined stateful container migration in both distributed systems and geo-distributed systems. The researchers studied stateful container migration methods which used improved checkpoint-and-restore systems and proved that container-level transfer could achieve shorter downtime than VM-based systems. The study found that migration latency depends on two main factors which are application state size and network bandwidth, so state-aware orchestration strategies became essential to system performance. The researchers developed ETSI MEC architecture extensions which enable stateful application relocation through container migration while demonstrating that execution context preservation across distributed edge-cloud nodes is possible. The research shows that containerization allows both stateless and stateful workloads to run at different locations which proves its technical compatibility with runtime mobility. </w:t>
      </w:r>
    </w:p>
    <w:p w14:paraId="4499E4D9" w14:textId="28D2099C" w:rsidR="50751DD5" w:rsidRDefault="50751DD5" w:rsidP="0E62992E">
      <w:pPr>
        <w:spacing w:before="240" w:after="240"/>
        <w:jc w:val="both"/>
      </w:pPr>
      <w:r w:rsidRPr="0E62992E">
        <w:rPr>
          <w:rFonts w:ascii="Times New Roman" w:eastAsia="Times New Roman" w:hAnsi="Times New Roman" w:cs="Times New Roman"/>
          <w:color w:val="000000" w:themeColor="text1"/>
          <w:sz w:val="22"/>
          <w:szCs w:val="22"/>
        </w:rPr>
        <w:t>The developers of cross-cloud management platforms based on policy-driven methods have developed new cross-cloud management platforms. The research team developed a cross-cloud container management framework which allows organizations to move their workloads according to established rules. The system provides greater operational efficiency than manual processes yet lacks the ability to make decisions using multiple different objectives which depend on changing costs and latencies and service-level agreements. The system lacks network-layer abstraction methods which would enable uninterrupted service during changes between service providers. The organization approaches migration as an emergency step instead of implementing a systematic process for making optimized migration choices.</w:t>
      </w:r>
    </w:p>
    <w:p w14:paraId="7B85D9B9" w14:textId="0B862B37" w:rsidR="5C4DD3FB" w:rsidRDefault="5C4DD3FB" w:rsidP="0E62992E">
      <w:pPr>
        <w:spacing w:before="240" w:after="240"/>
        <w:jc w:val="both"/>
        <w:rPr>
          <w:rFonts w:ascii="Times New Roman" w:eastAsia="Times New Roman" w:hAnsi="Times New Roman" w:cs="Times New Roman"/>
          <w:color w:val="000000" w:themeColor="text1"/>
          <w:sz w:val="22"/>
          <w:szCs w:val="22"/>
        </w:rPr>
      </w:pPr>
      <w:r w:rsidRPr="0E62992E">
        <w:rPr>
          <w:rFonts w:ascii="Times New Roman" w:eastAsia="Times New Roman" w:hAnsi="Times New Roman" w:cs="Times New Roman"/>
          <w:color w:val="000000" w:themeColor="text1"/>
          <w:sz w:val="22"/>
          <w:szCs w:val="22"/>
        </w:rPr>
        <w:lastRenderedPageBreak/>
        <w:t>Workload mobility needs to consider both distributed system consistency requirements and data synchronization needs.[4] introduced a cloud migration consistency model that uses data attributes to determine how migration plans should modify their approach basedon different types of workloads and data elements. The framework demonstrates that standard replication methods fail to meet the diverse needs of various applications. The study examined how fault-tolerant distributed systems handle trade-offs by using CAP and PACELC theorems which showed that consistency and availability needs create fundamental limits that impact replication approaches used during system migration. The research studied optimal data placement methods for multi-cloud storage systems which showed that storage topology and migration options depend on how cost and reliability and latency requirements interact with each other. The research findings demonstrate that portability extends beyond compute-layer challenges because it requires the development of synchronization methods that consider correctness and storage methods that require decision-making capabilities.</w:t>
      </w:r>
    </w:p>
    <w:p w14:paraId="78686C82" w14:textId="437E72A3" w:rsidR="25BDC95A" w:rsidRDefault="25BDC95A" w:rsidP="0E62992E">
      <w:pPr>
        <w:spacing w:before="240" w:after="240"/>
        <w:jc w:val="both"/>
        <w:rPr>
          <w:rFonts w:ascii="Times New Roman" w:eastAsia="Times New Roman" w:hAnsi="Times New Roman" w:cs="Times New Roman"/>
          <w:color w:val="000000" w:themeColor="text1"/>
          <w:sz w:val="22"/>
          <w:szCs w:val="22"/>
        </w:rPr>
      </w:pPr>
      <w:r w:rsidRPr="0E62992E">
        <w:rPr>
          <w:rFonts w:ascii="Times New Roman" w:eastAsia="Times New Roman" w:hAnsi="Times New Roman" w:cs="Times New Roman"/>
          <w:color w:val="000000" w:themeColor="text1"/>
          <w:sz w:val="22"/>
          <w:szCs w:val="22"/>
        </w:rPr>
        <w:t xml:space="preserve">Geographically distributed deployments now receive support from multi-cluster orchestration frameworks which developed alongside container migration research according to [7]. The study examined multi-cluster Kubernetes networking frameworks which measured performance degradation through inter-cluster communication. The system L3 developed by [8] works as a latency-aware load balancing system which enables multi-cluster service meshes to decrease tail latency through its adaptive routing method. An advanced multi-cluster scheduling mechanism was developed by Wang et al. [9] which uses resource normalization and affinity constraints to achieve efficient workload distribution for different system requirements. Distributed orchestration systems need performance optimization solutions for their implementation </w:t>
      </w:r>
      <w:r w:rsidRPr="0E62992E">
        <w:rPr>
          <w:rFonts w:ascii="Times New Roman" w:eastAsia="Times New Roman" w:hAnsi="Times New Roman" w:cs="Times New Roman"/>
          <w:color w:val="000000" w:themeColor="text1"/>
          <w:sz w:val="22"/>
          <w:szCs w:val="22"/>
        </w:rPr>
        <w:t>inside federated cluster environments. The systems need to create solutions which support transitions between various provider systems under economic or resilience conditions. The use of infrastructure abstraction tools enables organizations to expand their multi-cloud operational capabilities. Crossplane establishes a multi-cloud infrastructure management platform which uses declarative methods to create cross-provider resource management through integration with Kubernetes APIs according to [10]. Crossplane enables users to create infrastructure systems through its abstract infrastructure provisioning feature but it lacks runtime migration intelligence and service continuity capabilities. The system focuses on managing infrastructure throughout its existence instead of handling tasks that require workload movement between different platforms. The combination of orchestration and abstraction frameworks enables organizations to move their systems between different environments. However, these systems do not provide solutions for automated cross-cloud system movement.</w:t>
      </w:r>
    </w:p>
    <w:p w14:paraId="1CB53880" w14:textId="21B48504" w:rsidR="25BDC95A" w:rsidRDefault="25BDC95A" w:rsidP="0E62992E">
      <w:pPr>
        <w:spacing w:before="240" w:after="240"/>
        <w:jc w:val="both"/>
        <w:rPr>
          <w:rFonts w:ascii="Times New Roman" w:eastAsia="Times New Roman" w:hAnsi="Times New Roman" w:cs="Times New Roman"/>
          <w:color w:val="000000" w:themeColor="text1"/>
          <w:sz w:val="22"/>
          <w:szCs w:val="22"/>
        </w:rPr>
      </w:pPr>
      <w:r w:rsidRPr="0E62992E">
        <w:rPr>
          <w:rFonts w:ascii="Times New Roman" w:eastAsia="Times New Roman" w:hAnsi="Times New Roman" w:cs="Times New Roman"/>
          <w:color w:val="000000" w:themeColor="text1"/>
          <w:sz w:val="22"/>
          <w:szCs w:val="22"/>
        </w:rPr>
        <w:t>The transition between providers leads to network service outages because it creates new challenges which must be handled at the network layer. Organizations use DNS-based traffic redirection as their primary method to maintain endpoint stability, but actual DNS performance creates major issues which affect system reliability. The study demonstrated that recursive DNS resolvers frequently violate advertised TTL values by caching responses longer than specified thereby introducing uncertainty in migration timing assumptions. The study assessed DNS resiliency through testing truncation and fallback scenarios which revealed different resolver responsiveness and failover patterns. The results demonstrate that DNS propagation characteristics require incorporation into migration orchestration logic because they do not exhibit deterministic behavior.</w:t>
      </w:r>
    </w:p>
    <w:p w14:paraId="30EF196E" w14:textId="6377F18D" w:rsidR="25BDC95A" w:rsidRDefault="25BDC95A" w:rsidP="0E62992E">
      <w:pPr>
        <w:spacing w:before="240" w:after="240"/>
        <w:jc w:val="both"/>
      </w:pPr>
      <w:r w:rsidRPr="0E62992E">
        <w:rPr>
          <w:rFonts w:ascii="Times New Roman" w:eastAsia="Times New Roman" w:hAnsi="Times New Roman" w:cs="Times New Roman"/>
          <w:color w:val="000000" w:themeColor="text1"/>
          <w:sz w:val="22"/>
          <w:szCs w:val="22"/>
        </w:rPr>
        <w:lastRenderedPageBreak/>
        <w:t>Researchers have focused their studies on GeoDNS and CDN-based traffic steering mechanisms to investigate how these systems affect latency optimization instead of analyzing their migration continuity capabilities. The NGINX-based CDN testbed confirmed that geographic redirection achieves latency reduction through proper configuration. The researchers developed a Geo-Intelligent DNS resolver which uses deep learning technology to learn routing patterns for adaptive traffic distribution. The approaches improve routing performance, yet they do not connect with the processes which handle workload relocation. The research introduced segment routing-based multi-cloud chaining as a DNS-level abstraction alternative which enables users to control their networks through programmable routing functions. The advanced network infrastructure requirements of these methods make them unsuitable for application-layer deployment models. The research on traffic engineering provides useful information about endpoint abstraction and routing variability, but it hardly ever connects DNS behavior modeling with container migration research.</w:t>
      </w:r>
    </w:p>
    <w:p w14:paraId="78D40D81" w14:textId="1BC1EB15" w:rsidR="25BDC95A" w:rsidRDefault="25BDC95A" w:rsidP="0E62992E">
      <w:pPr>
        <w:spacing w:before="240" w:after="240"/>
        <w:jc w:val="both"/>
        <w:rPr>
          <w:rFonts w:ascii="Times New Roman" w:eastAsia="Times New Roman" w:hAnsi="Times New Roman" w:cs="Times New Roman"/>
          <w:color w:val="000000" w:themeColor="text1"/>
          <w:sz w:val="22"/>
          <w:szCs w:val="22"/>
        </w:rPr>
      </w:pPr>
      <w:r w:rsidRPr="0E62992E">
        <w:rPr>
          <w:rFonts w:ascii="Times New Roman" w:eastAsia="Times New Roman" w:hAnsi="Times New Roman" w:cs="Times New Roman"/>
          <w:color w:val="000000" w:themeColor="text1"/>
          <w:sz w:val="22"/>
          <w:szCs w:val="22"/>
        </w:rPr>
        <w:t xml:space="preserve">The research on cloud brokerage investigates methods for vendor lock-in prevention and optimal vendor selection. The authors of this study conducted a systematic mapping study which classified brokerage architectures while discovering that most broker systems function as advisory decision-support tools instead of operational orchestration systems. The researchers showed that three technologies which include automation and dynamic adaptation and execution integration remain in an early stage of development. The research into cost-performance optimization creates a system for provider selection through mathematical methods. The study introduced a multi-cloud cost optimization framework which uses gradient-based control to manage performance and cost goals. The models create organized decision procedures that operate separately from the processes of container </w:t>
      </w:r>
      <w:r w:rsidRPr="0E62992E">
        <w:rPr>
          <w:rFonts w:ascii="Times New Roman" w:eastAsia="Times New Roman" w:hAnsi="Times New Roman" w:cs="Times New Roman"/>
          <w:color w:val="000000" w:themeColor="text1"/>
          <w:sz w:val="22"/>
          <w:szCs w:val="22"/>
        </w:rPr>
        <w:t xml:space="preserve">relocation which happens during runtime and DNS-based traffic cutover. The brokerage literature suffers from a fundamental problem because it keeps migration execution and selection modeling systems apart from each other. </w:t>
      </w:r>
    </w:p>
    <w:p w14:paraId="1BF0622F" w14:textId="63EE9621" w:rsidR="25BDC95A" w:rsidRDefault="25BDC95A" w:rsidP="0E62992E">
      <w:pPr>
        <w:spacing w:before="240" w:after="240"/>
        <w:jc w:val="both"/>
      </w:pPr>
      <w:r w:rsidRPr="0E62992E">
        <w:rPr>
          <w:rFonts w:ascii="Times New Roman" w:eastAsia="Times New Roman" w:hAnsi="Times New Roman" w:cs="Times New Roman"/>
          <w:color w:val="000000" w:themeColor="text1"/>
          <w:sz w:val="22"/>
          <w:szCs w:val="22"/>
        </w:rPr>
        <w:t>TheResearch research on disaster recovery (DR) provides additional evidence that supports the use of multi-cloud approaches. The authors developed a disaster recovery service system which enables monitoring and recovery operations across various cloud environments. The researchers studied RTO and RPO metrics for on-premises and cloud infrastructure setups which created actual benchmarks for evaluating recovery effectiveness. The researchers conducted a comparison which measured RTO and RPO performance between AWS and GCP deployments while assessing the effectiveness of DRaaS. The studies establish that resilience benchmarking and failover modeling stand as critical components for testing system stability although the studies mainly use redundancy systems which maintain constant backup through hot standby and multi-live setup. The system maintains high availability but it raises operational expenses while the system fails to switch providers according to economic gains and performance drop indicators.</w:t>
      </w:r>
    </w:p>
    <w:p w14:paraId="654EBA82" w14:textId="49524CB6" w:rsidR="25BDC95A" w:rsidRDefault="25BDC95A" w:rsidP="4D698771">
      <w:pPr>
        <w:spacing w:before="240" w:after="240"/>
        <w:jc w:val="both"/>
        <w:rPr>
          <w:rFonts w:ascii="Times New Roman" w:eastAsia="Times New Roman" w:hAnsi="Times New Roman" w:cs="Times New Roman"/>
          <w:color w:val="000000" w:themeColor="text1"/>
          <w:sz w:val="22"/>
          <w:szCs w:val="22"/>
        </w:rPr>
      </w:pPr>
      <w:r w:rsidRPr="4D698771">
        <w:rPr>
          <w:rFonts w:ascii="Times New Roman" w:eastAsia="Times New Roman" w:hAnsi="Times New Roman" w:cs="Times New Roman"/>
          <w:color w:val="000000" w:themeColor="text1"/>
          <w:sz w:val="22"/>
          <w:szCs w:val="22"/>
        </w:rPr>
        <w:t xml:space="preserve">The literature demonstrates that container-based portability and distributed orchestration optimization together with DNS-level traffic steering and brokerage modeling and resilience evaluation can be implemented as technical solutions. The various domains of the study exist as separate entities. The research on container migration aims to decrease operational downtime but it does not include any economic decision-making capabilities. The research on brokerage systems enables providers to be compared but it does not include automated systems for executing migration tasks. The studies on DNS routing show how different routes can be used but these findings are not typically applied to create models for </w:t>
      </w:r>
      <w:r w:rsidRPr="4D698771">
        <w:rPr>
          <w:rFonts w:ascii="Times New Roman" w:eastAsia="Times New Roman" w:hAnsi="Times New Roman" w:cs="Times New Roman"/>
          <w:color w:val="000000" w:themeColor="text1"/>
          <w:sz w:val="22"/>
          <w:szCs w:val="22"/>
        </w:rPr>
        <w:lastRenderedPageBreak/>
        <w:t xml:space="preserve">migration scheduling. Disaster recovery systems use backup systems as their main feature instead of using provider switching which occurs through active decision-making processes. </w:t>
      </w:r>
    </w:p>
    <w:p w14:paraId="671CACA8" w14:textId="67328D2D" w:rsidR="78696B25" w:rsidRDefault="25BDC95A" w:rsidP="4D698771">
      <w:pPr>
        <w:spacing w:before="240" w:after="240"/>
        <w:jc w:val="both"/>
        <w:rPr>
          <w:rFonts w:ascii="Times New Roman" w:eastAsia="Times New Roman" w:hAnsi="Times New Roman" w:cs="Times New Roman"/>
          <w:b/>
          <w:bCs/>
          <w:color w:val="000000" w:themeColor="text1"/>
          <w:sz w:val="34"/>
          <w:szCs w:val="34"/>
        </w:rPr>
      </w:pPr>
      <w:r w:rsidRPr="4D698771">
        <w:rPr>
          <w:rFonts w:ascii="Times New Roman" w:eastAsia="Times New Roman" w:hAnsi="Times New Roman" w:cs="Times New Roman"/>
          <w:color w:val="000000" w:themeColor="text1"/>
          <w:sz w:val="22"/>
          <w:szCs w:val="22"/>
        </w:rPr>
        <w:t>The current fragmentation shows that there is no comprehensive intelligent system which integrates containerized portability and DNS-aware traffic redirection with real-world TTL behavior together with multi-objective cloud selection based on optimization theory. The Smart Multi-Cloud Workload Migration framework provides a solution to the integration problem because it connects container relocation and DNS service continuity and cloud selection through a unified orchestration system. The integration process transforms multi-cloud mobility from separate technical systems into a flexible operational system which makes decisions based on economic factors and resilience requirements.</w:t>
      </w:r>
    </w:p>
    <w:p w14:paraId="656EE31D" w14:textId="69794FCD" w:rsidR="78696B25" w:rsidRDefault="17F29559" w:rsidP="34EEC583">
      <w:pPr>
        <w:spacing w:before="240" w:after="240"/>
        <w:jc w:val="both"/>
        <w:rPr>
          <w:rFonts w:ascii="Times New Roman" w:eastAsia="Times New Roman" w:hAnsi="Times New Roman" w:cs="Times New Roman"/>
          <w:b/>
          <w:bCs/>
          <w:color w:val="000000" w:themeColor="text1"/>
          <w:sz w:val="32"/>
          <w:szCs w:val="32"/>
        </w:rPr>
      </w:pPr>
      <w:r w:rsidRPr="34EEC583">
        <w:rPr>
          <w:rFonts w:ascii="Times New Roman" w:eastAsia="Times New Roman" w:hAnsi="Times New Roman" w:cs="Times New Roman"/>
          <w:b/>
          <w:bCs/>
          <w:color w:val="000000" w:themeColor="text1"/>
          <w:sz w:val="32"/>
          <w:szCs w:val="32"/>
        </w:rPr>
        <w:t>2</w:t>
      </w:r>
      <w:r w:rsidR="78696B25" w:rsidRPr="34EEC583">
        <w:rPr>
          <w:rFonts w:ascii="Times New Roman" w:eastAsia="Times New Roman" w:hAnsi="Times New Roman" w:cs="Times New Roman"/>
          <w:b/>
          <w:bCs/>
          <w:color w:val="000000" w:themeColor="text1"/>
          <w:sz w:val="32"/>
          <w:szCs w:val="32"/>
        </w:rPr>
        <w:t>.</w:t>
      </w:r>
      <w:r w:rsidR="25A53F23" w:rsidRPr="34EEC583">
        <w:rPr>
          <w:rFonts w:ascii="Times New Roman" w:eastAsia="Times New Roman" w:hAnsi="Times New Roman" w:cs="Times New Roman"/>
          <w:b/>
          <w:bCs/>
          <w:color w:val="000000" w:themeColor="text1"/>
          <w:sz w:val="32"/>
          <w:szCs w:val="32"/>
        </w:rPr>
        <w:t>2.</w:t>
      </w:r>
      <w:r w:rsidR="78696B25" w:rsidRPr="34EEC583">
        <w:rPr>
          <w:rFonts w:ascii="Times New Roman" w:eastAsia="Times New Roman" w:hAnsi="Times New Roman" w:cs="Times New Roman"/>
          <w:b/>
          <w:bCs/>
          <w:color w:val="000000" w:themeColor="text1"/>
          <w:sz w:val="32"/>
          <w:szCs w:val="32"/>
        </w:rPr>
        <w:t xml:space="preserve"> RESEARCH GAPS AND</w:t>
      </w:r>
      <w:r w:rsidR="3E6F0A76" w:rsidRPr="34EEC583">
        <w:rPr>
          <w:rFonts w:ascii="Times New Roman" w:eastAsia="Times New Roman" w:hAnsi="Times New Roman" w:cs="Times New Roman"/>
          <w:b/>
          <w:bCs/>
          <w:color w:val="000000" w:themeColor="text1"/>
          <w:sz w:val="32"/>
          <w:szCs w:val="32"/>
        </w:rPr>
        <w:t xml:space="preserve"> </w:t>
      </w:r>
      <w:r w:rsidR="78696B25" w:rsidRPr="34EEC583">
        <w:rPr>
          <w:rFonts w:ascii="Times New Roman" w:eastAsia="Times New Roman" w:hAnsi="Times New Roman" w:cs="Times New Roman"/>
          <w:b/>
          <w:bCs/>
          <w:color w:val="000000" w:themeColor="text1"/>
          <w:sz w:val="32"/>
          <w:szCs w:val="32"/>
        </w:rPr>
        <w:t>MAIN CHALLENGES</w:t>
      </w:r>
    </w:p>
    <w:p w14:paraId="15A538E8" w14:textId="25001B42" w:rsidR="73BB12B5" w:rsidRDefault="73BB12B5" w:rsidP="0E62992E">
      <w:pPr>
        <w:spacing w:before="240" w:after="240"/>
        <w:jc w:val="both"/>
      </w:pPr>
      <w:r w:rsidRPr="0E62992E">
        <w:rPr>
          <w:rFonts w:ascii="Times New Roman" w:eastAsia="Times New Roman" w:hAnsi="Times New Roman" w:cs="Times New Roman"/>
          <w:sz w:val="22"/>
          <w:szCs w:val="22"/>
        </w:rPr>
        <w:t xml:space="preserve">The current literature remains fragmented because researchers have investigated container portability and distributed orchestration and DNS-based traffic engineering and cloud brokerage optimization and disaster recovery modeling. The independent study of multi-cloud environments by researchers has created research gaps which hinder the creation of adaptive intelligent multi-cloud workload migration systems. </w:t>
      </w:r>
    </w:p>
    <w:p w14:paraId="62251ED2" w14:textId="2432CAEB" w:rsidR="73BB12B5" w:rsidRDefault="73BB12B5" w:rsidP="0E62992E">
      <w:pPr>
        <w:spacing w:before="240" w:after="240"/>
        <w:jc w:val="both"/>
      </w:pPr>
      <w:r w:rsidRPr="34EEC583">
        <w:rPr>
          <w:rFonts w:ascii="Times New Roman" w:eastAsia="Times New Roman" w:hAnsi="Times New Roman" w:cs="Times New Roman"/>
          <w:b/>
          <w:bCs/>
          <w:sz w:val="22"/>
          <w:szCs w:val="22"/>
        </w:rPr>
        <w:t xml:space="preserve">Absence of Decision-Driven Migration Mechanisms </w:t>
      </w:r>
    </w:p>
    <w:p w14:paraId="4B29FEBF" w14:textId="456FF4CF" w:rsidR="73BB12B5" w:rsidRDefault="73BB12B5" w:rsidP="0E62992E">
      <w:pPr>
        <w:spacing w:before="240" w:after="240"/>
        <w:jc w:val="both"/>
      </w:pPr>
      <w:r w:rsidRPr="0E62992E">
        <w:rPr>
          <w:rFonts w:ascii="Times New Roman" w:eastAsia="Times New Roman" w:hAnsi="Times New Roman" w:cs="Times New Roman"/>
          <w:sz w:val="22"/>
          <w:szCs w:val="22"/>
        </w:rPr>
        <w:t xml:space="preserve">Existing studies about container-based migration show that organizations can move their containerized applications between different distributed systems without interrupting application operations and service delivery [1] [2]. The research focuses on enhancing migration efficiency through three </w:t>
      </w:r>
      <w:r w:rsidRPr="0E62992E">
        <w:rPr>
          <w:rFonts w:ascii="Times New Roman" w:eastAsia="Times New Roman" w:hAnsi="Times New Roman" w:cs="Times New Roman"/>
          <w:sz w:val="22"/>
          <w:szCs w:val="22"/>
        </w:rPr>
        <w:t xml:space="preserve">main objectives which include decreasing checkpoint sizes and decreasing restart delays and decreasing the network costs that occur during state synchronization. The advancements boost the container migration process but they only explain how organizations complete their migration activities without offering guidance about selecting the best time to move and which cloud provider should serve as the final destination. The migration process in actual multi-cloud systems requires organizations to assess various real-time factors which include system performance and infrastructure availability and workload characteristics and operational changes. Existing migration frameworks create an assumption that external actors have already reached an agreement about migration, which results in the migration system losing its ability to make decisions about the actual process. </w:t>
      </w:r>
    </w:p>
    <w:p w14:paraId="2448FD19" w14:textId="0E1E1128" w:rsidR="73BB12B5" w:rsidRDefault="73BB12B5" w:rsidP="0E62992E">
      <w:pPr>
        <w:spacing w:before="240" w:after="240"/>
        <w:jc w:val="both"/>
        <w:rPr>
          <w:rFonts w:ascii="Times New Roman" w:eastAsia="Times New Roman" w:hAnsi="Times New Roman" w:cs="Times New Roman"/>
          <w:sz w:val="22"/>
          <w:szCs w:val="22"/>
        </w:rPr>
      </w:pPr>
      <w:r w:rsidRPr="0E62992E">
        <w:rPr>
          <w:rFonts w:ascii="Times New Roman" w:eastAsia="Times New Roman" w:hAnsi="Times New Roman" w:cs="Times New Roman"/>
          <w:sz w:val="22"/>
          <w:szCs w:val="22"/>
        </w:rPr>
        <w:t>The policy-based migration platforms between different cloud services use predefined rules together with threshold-based policies to create basic automated relocation procedures [3]. The system provides limited automation capabilities because its operational rules demand manual creation but its static structure prevents adjustments to changing cloud environments. Organizations need to implement migration systems that can assess multiple factors, including changing cloud service costs and network latency patterns and resource congestion, and infrastructure breakdowns. The lack of intelligent decision systems results in migration processes that follow reactive patterns while waiting for administrators to make decisions, which limits the ability of multi-cloud environments to grow and adjust. The development of migration frameworks that use operational monitoring to assess multiple performance metrics needs to create systems which automatically start migration processes when relocation leads to operational gains, better system reliability, and reduced costs.</w:t>
      </w:r>
    </w:p>
    <w:p w14:paraId="1108ED81" w14:textId="414A078F" w:rsidR="78696B25" w:rsidRDefault="78696B25" w:rsidP="0E62992E">
      <w:pPr>
        <w:spacing w:before="240" w:after="240"/>
        <w:jc w:val="both"/>
        <w:rPr>
          <w:rFonts w:ascii="Times New Roman" w:eastAsia="Times New Roman" w:hAnsi="Times New Roman" w:cs="Times New Roman"/>
          <w:b/>
          <w:bCs/>
          <w:color w:val="000000" w:themeColor="text1"/>
          <w:sz w:val="22"/>
          <w:szCs w:val="22"/>
        </w:rPr>
      </w:pPr>
      <w:r w:rsidRPr="0E62992E">
        <w:rPr>
          <w:rFonts w:ascii="Times New Roman" w:eastAsia="Times New Roman" w:hAnsi="Times New Roman" w:cs="Times New Roman"/>
          <w:b/>
          <w:bCs/>
          <w:color w:val="000000" w:themeColor="text1"/>
          <w:sz w:val="22"/>
          <w:szCs w:val="22"/>
        </w:rPr>
        <w:lastRenderedPageBreak/>
        <w:t>Limited Integration of State Consistency with Migration Orchestration</w:t>
      </w:r>
    </w:p>
    <w:p w14:paraId="4A35B3CA" w14:textId="6FD1AA7F" w:rsidR="2B2D566A" w:rsidRDefault="2B2D566A" w:rsidP="0E62992E">
      <w:pPr>
        <w:spacing w:before="240" w:after="240"/>
        <w:jc w:val="both"/>
        <w:rPr>
          <w:rFonts w:ascii="Times New Roman" w:eastAsia="Times New Roman" w:hAnsi="Times New Roman" w:cs="Times New Roman"/>
          <w:sz w:val="22"/>
          <w:szCs w:val="22"/>
        </w:rPr>
      </w:pPr>
      <w:r w:rsidRPr="0E62992E">
        <w:rPr>
          <w:rFonts w:ascii="Times New Roman" w:eastAsia="Times New Roman" w:hAnsi="Times New Roman" w:cs="Times New Roman"/>
          <w:sz w:val="22"/>
          <w:szCs w:val="22"/>
        </w:rPr>
        <w:t xml:space="preserve">The migration of stateful workloads simulates several difficult problems because data must remain consistent while application states must be synchronized throughout multiple cloud environments. Applications that need to keep their runtime state which includes user sessions and transaction records and cached data and service logs must use precise methods for their relocation process because any mistake can lead to data loss or data corruption. Previous studies proposed migration models with consistency awareness which evaluate application data properties when transferring system states between different environments [4]. Distributed computing theoretical principles demonstrate fundamental trade-offs between three system attributes which include consistency and availability and latency according to the CAP and PACELC models described in [5]. The principles demonstrate that organizations which need to maintain absolute data consistency across their worldwide operations will experience difficulties with system performance and data accessibility. Research on multi-cloud storage placement indicates that organizations use distributed data management methods in cloud environments because they want to balance three important factors which include cost, latency, and reliability. </w:t>
      </w:r>
    </w:p>
    <w:p w14:paraId="0606C6F6" w14:textId="60EF0DE9" w:rsidR="2B2D566A" w:rsidRDefault="2B2D566A" w:rsidP="0E62992E">
      <w:pPr>
        <w:spacing w:before="240" w:after="240"/>
        <w:jc w:val="both"/>
        <w:rPr>
          <w:rFonts w:ascii="Times New Roman" w:eastAsia="Times New Roman" w:hAnsi="Times New Roman" w:cs="Times New Roman"/>
          <w:b/>
          <w:bCs/>
          <w:color w:val="000000" w:themeColor="text1"/>
          <w:sz w:val="22"/>
          <w:szCs w:val="22"/>
        </w:rPr>
      </w:pPr>
      <w:r w:rsidRPr="0E62992E">
        <w:rPr>
          <w:rFonts w:ascii="Times New Roman" w:eastAsia="Times New Roman" w:hAnsi="Times New Roman" w:cs="Times New Roman"/>
          <w:sz w:val="22"/>
          <w:szCs w:val="22"/>
        </w:rPr>
        <w:t xml:space="preserve">Most existing studies research state synchronization and migration execution as separate processes which creates problems because data consistency mechanisms cannot work together with migration orchestration workflows. The primary function of container migration frameworks involves moving application instances to new environments where they will be restarted while state management depends on external storage systems and replication services for its operations. The process of transferring data between clouds creates problems because </w:t>
      </w:r>
      <w:r w:rsidRPr="0E62992E">
        <w:rPr>
          <w:rFonts w:ascii="Times New Roman" w:eastAsia="Times New Roman" w:hAnsi="Times New Roman" w:cs="Times New Roman"/>
          <w:sz w:val="22"/>
          <w:szCs w:val="22"/>
        </w:rPr>
        <w:t>different activities need to happen at the same time but various parts of the process must function independently through which control will be established. Stateful applications present challenges for maintaining application correctness because their services need to operate without interruptions. The existing limitation needs to be solved through the development of migration frameworks which combine consistency-aware state synchronization with migration orchestration pipelines to achieve reliable application state transfer and workload relocation and service traffic management.</w:t>
      </w:r>
    </w:p>
    <w:p w14:paraId="7EE50578" w14:textId="5556527A" w:rsidR="78696B25" w:rsidRDefault="78696B25" w:rsidP="0E62992E">
      <w:pPr>
        <w:spacing w:before="240" w:after="240"/>
        <w:jc w:val="both"/>
        <w:rPr>
          <w:rFonts w:ascii="Times New Roman" w:eastAsia="Times New Roman" w:hAnsi="Times New Roman" w:cs="Times New Roman"/>
          <w:b/>
          <w:bCs/>
          <w:color w:val="000000" w:themeColor="text1"/>
          <w:sz w:val="22"/>
          <w:szCs w:val="22"/>
        </w:rPr>
      </w:pPr>
      <w:r w:rsidRPr="0E62992E">
        <w:rPr>
          <w:rFonts w:ascii="Times New Roman" w:eastAsia="Times New Roman" w:hAnsi="Times New Roman" w:cs="Times New Roman"/>
          <w:b/>
          <w:bCs/>
          <w:color w:val="000000" w:themeColor="text1"/>
          <w:sz w:val="22"/>
          <w:szCs w:val="22"/>
        </w:rPr>
        <w:t>Inadequate Support for Intelligent Cross-Provider Orchestration</w:t>
      </w:r>
    </w:p>
    <w:p w14:paraId="1EF82A0A" w14:textId="667C946F" w:rsidR="181247F5" w:rsidRDefault="181247F5" w:rsidP="0E62992E">
      <w:pPr>
        <w:spacing w:before="240" w:after="240"/>
        <w:jc w:val="both"/>
        <w:rPr>
          <w:rFonts w:ascii="Times New Roman" w:eastAsia="Times New Roman" w:hAnsi="Times New Roman" w:cs="Times New Roman"/>
          <w:sz w:val="22"/>
          <w:szCs w:val="22"/>
        </w:rPr>
      </w:pPr>
      <w:r w:rsidRPr="0E62992E">
        <w:rPr>
          <w:rFonts w:ascii="Times New Roman" w:eastAsia="Times New Roman" w:hAnsi="Times New Roman" w:cs="Times New Roman"/>
          <w:sz w:val="22"/>
          <w:szCs w:val="22"/>
        </w:rPr>
        <w:t>Research on multi-cluster orchestration has significantly improved workload scheduling, resource allocation, and communication efficiency across distributed computing environments [7]</w:t>
      </w:r>
      <w:proofErr w:type="gramStart"/>
      <w:r w:rsidRPr="0E62992E">
        <w:rPr>
          <w:rFonts w:ascii="Times New Roman" w:eastAsia="Times New Roman" w:hAnsi="Times New Roman" w:cs="Times New Roman"/>
          <w:sz w:val="22"/>
          <w:szCs w:val="22"/>
        </w:rPr>
        <w:t>–[</w:t>
      </w:r>
      <w:proofErr w:type="gramEnd"/>
      <w:r w:rsidRPr="0E62992E">
        <w:rPr>
          <w:rFonts w:ascii="Times New Roman" w:eastAsia="Times New Roman" w:hAnsi="Times New Roman" w:cs="Times New Roman"/>
          <w:sz w:val="22"/>
          <w:szCs w:val="22"/>
        </w:rPr>
        <w:t xml:space="preserve">9]. The frameworks developed by these researchers allow applications to function across multiple clusters through their service placement optimization and inter-cluster network management and resource-based performance workload distribution. These methods show particular effectiveness in federated cluster environments which contain infrastructure components that share identical operational setup and administrative management. Existing orchestration models create limitations because they work best with either uniform infrastructure systems or administrative regions that work together with networking policies and security settings and management systems that all clusters follow. </w:t>
      </w:r>
    </w:p>
    <w:p w14:paraId="140F0A12" w14:textId="224FB473" w:rsidR="181247F5" w:rsidRDefault="181247F5" w:rsidP="0E62992E">
      <w:pPr>
        <w:spacing w:before="240" w:after="240"/>
        <w:jc w:val="both"/>
      </w:pPr>
      <w:r w:rsidRPr="0E62992E">
        <w:rPr>
          <w:rFonts w:ascii="Times New Roman" w:eastAsia="Times New Roman" w:hAnsi="Times New Roman" w:cs="Times New Roman"/>
          <w:sz w:val="22"/>
          <w:szCs w:val="22"/>
        </w:rPr>
        <w:t xml:space="preserve">Multi-cloud environments become more complicated because different public cloud platforms use different system components which require cross-provider migration to operate. Different providers implement distinct networking architectures, identity and access management systems, service interfaces, and </w:t>
      </w:r>
      <w:r w:rsidRPr="0E62992E">
        <w:rPr>
          <w:rFonts w:ascii="Times New Roman" w:eastAsia="Times New Roman" w:hAnsi="Times New Roman" w:cs="Times New Roman"/>
          <w:sz w:val="22"/>
          <w:szCs w:val="22"/>
        </w:rPr>
        <w:lastRenderedPageBreak/>
        <w:t>pricing models, which complicates the orchestration of workloads across environments. Crossplane serves as an infrastructure abstraction tool which enables organizations to manage multi-cloud environments through declarative infrastructure management across different cloud providers [10]. The main focus of these tools Mx which research resource allocation and configuration control without providing support for running operational load transfers and service movement between systems. The market currently lacks orchestration solutions that can conduct intelligent workload migration between different cloud platforms while maintaining service efficiency and system trustworthiness and network function safety. The existing limitation needs solutions through orchestration frameworks which establish connections between multi-cloud resource management and intelligent migration coordination and performance-aware decision mechanisms.</w:t>
      </w:r>
    </w:p>
    <w:p w14:paraId="2AC60B41" w14:textId="2971A34F" w:rsidR="78696B25" w:rsidRDefault="78696B25" w:rsidP="0E62992E">
      <w:pPr>
        <w:spacing w:before="240" w:after="240"/>
        <w:jc w:val="both"/>
        <w:rPr>
          <w:rFonts w:ascii="Times New Roman" w:eastAsia="Times New Roman" w:hAnsi="Times New Roman" w:cs="Times New Roman"/>
          <w:b/>
          <w:bCs/>
          <w:color w:val="000000" w:themeColor="text1"/>
          <w:sz w:val="22"/>
          <w:szCs w:val="22"/>
        </w:rPr>
      </w:pPr>
      <w:r w:rsidRPr="0E62992E">
        <w:rPr>
          <w:rFonts w:ascii="Times New Roman" w:eastAsia="Times New Roman" w:hAnsi="Times New Roman" w:cs="Times New Roman"/>
          <w:b/>
          <w:bCs/>
          <w:color w:val="000000" w:themeColor="text1"/>
          <w:sz w:val="22"/>
          <w:szCs w:val="22"/>
        </w:rPr>
        <w:t>Lack of DNS-Aware Migration Models for Service Continuity</w:t>
      </w:r>
    </w:p>
    <w:p w14:paraId="39B6D5FE" w14:textId="21AAC0CC" w:rsidR="32861441" w:rsidRDefault="32861441" w:rsidP="0E62992E">
      <w:pPr>
        <w:spacing w:before="240" w:after="240"/>
        <w:jc w:val="both"/>
        <w:rPr>
          <w:rFonts w:ascii="Times New Roman" w:eastAsia="Times New Roman" w:hAnsi="Times New Roman" w:cs="Times New Roman"/>
          <w:sz w:val="22"/>
          <w:szCs w:val="22"/>
        </w:rPr>
      </w:pPr>
      <w:r w:rsidRPr="0E62992E">
        <w:rPr>
          <w:rFonts w:ascii="Times New Roman" w:eastAsia="Times New Roman" w:hAnsi="Times New Roman" w:cs="Times New Roman"/>
          <w:sz w:val="22"/>
          <w:szCs w:val="22"/>
        </w:rPr>
        <w:t>The successful operation of service continuity during migration of workloads to new systems relies on the successful implementation of network traffic redirection systems which become essential when users access applications through public-facing endpoints. The system uses DNS-based abstraction to establish permanent service identifiers which remain intact while the underlying system undergoes infrastructure changes throughout the migration process. The system uses domain name mapping to direct application traffic which enables post-migration infrastructure redirection after the migration process reaches completion. Internet studies have demonstrated that DNS systems operate through unpredictable patterns which researchers have found to be beyond their power to forecast. Bhowmick et al research shows that recursive DNS resolvers fail to follow their Time-To-</w:t>
      </w:r>
      <w:r w:rsidRPr="0E62992E">
        <w:rPr>
          <w:rFonts w:ascii="Times New Roman" w:eastAsia="Times New Roman" w:hAnsi="Times New Roman" w:cs="Times New Roman"/>
          <w:sz w:val="22"/>
          <w:szCs w:val="22"/>
        </w:rPr>
        <w:t>Live TTL settings because they hold DNS records for longer periods than their defined expiration time, which creates a delay in traffic redirection during network infrastructure updates [11]. DNS resiliency assessments show that resolver systems display multiple performance differences which affect their ability to respond, their backup systems, and their DNS information distribution during times of network failure [12]. The unpredictable nature of DNS systems presents challenges for managing DNS-based migration methods in actual operational settings.</w:t>
      </w:r>
    </w:p>
    <w:p w14:paraId="64F24A84" w14:textId="5A223383" w:rsidR="32861441" w:rsidRDefault="32861441" w:rsidP="0E62992E">
      <w:pPr>
        <w:spacing w:before="240" w:after="240"/>
        <w:jc w:val="both"/>
        <w:rPr>
          <w:rFonts w:ascii="Times New Roman" w:eastAsia="Times New Roman" w:hAnsi="Times New Roman" w:cs="Times New Roman"/>
          <w:sz w:val="22"/>
          <w:szCs w:val="22"/>
        </w:rPr>
      </w:pPr>
      <w:r w:rsidRPr="0E62992E">
        <w:rPr>
          <w:rFonts w:ascii="Times New Roman" w:eastAsia="Times New Roman" w:hAnsi="Times New Roman" w:cs="Times New Roman"/>
          <w:sz w:val="22"/>
          <w:szCs w:val="22"/>
        </w:rPr>
        <w:t>The majority of DNS-based traffic management solutions which have been developed so far mainly concentrate on improving system performance instead of maintaining service during migration periods. The GeoDNS routing techniques together with AI-driven DNS optimization models which they use work to enhance traffic distribution efficiency through their ability to send requests to servers that are positioned at optimal geographic locations. The segment routing method which belongs to programmable networking systems provides users with the ability to create custom traffic management solutions that function across multiple networked systems. The existing solutions which have been developed to reduce network latency and enhance network performance which in turn prevents the operation of planned workload transfers between cloud services. The current existing DNS migration frameworks which operate in the present day need to create orchestration systems that use actual DNS data together with propagation uncertainty information. The development of DNS-aware migration models which can handle caching variability together with propagation delays and resolver inconsistencies represents a major research obstacle which needs to be solved for effective service continuity during cross-provider workload transitions.</w:t>
      </w:r>
    </w:p>
    <w:p w14:paraId="53690F10" w14:textId="31349F42" w:rsidR="78696B25" w:rsidRDefault="78696B25" w:rsidP="0E62992E">
      <w:pPr>
        <w:spacing w:before="240" w:after="240"/>
        <w:jc w:val="both"/>
        <w:rPr>
          <w:rFonts w:ascii="Times New Roman" w:eastAsia="Times New Roman" w:hAnsi="Times New Roman" w:cs="Times New Roman"/>
          <w:color w:val="000000" w:themeColor="text1"/>
          <w:sz w:val="22"/>
          <w:szCs w:val="22"/>
        </w:rPr>
      </w:pPr>
      <w:r w:rsidRPr="0E62992E">
        <w:rPr>
          <w:rFonts w:ascii="Times New Roman" w:eastAsia="Times New Roman" w:hAnsi="Times New Roman" w:cs="Times New Roman"/>
          <w:b/>
          <w:bCs/>
          <w:color w:val="000000" w:themeColor="text1"/>
          <w:sz w:val="22"/>
          <w:szCs w:val="22"/>
        </w:rPr>
        <w:lastRenderedPageBreak/>
        <w:t>Disconnection Between Cloud Brokerage Intelligence and Migration Executio</w:t>
      </w:r>
      <w:r w:rsidRPr="0E62992E">
        <w:rPr>
          <w:rFonts w:ascii="Times New Roman" w:eastAsia="Times New Roman" w:hAnsi="Times New Roman" w:cs="Times New Roman"/>
          <w:color w:val="000000" w:themeColor="text1"/>
          <w:sz w:val="22"/>
          <w:szCs w:val="22"/>
        </w:rPr>
        <w:t>n</w:t>
      </w:r>
    </w:p>
    <w:p w14:paraId="51E9896E" w14:textId="7A37A6A9" w:rsidR="707B0935" w:rsidRDefault="707B0935" w:rsidP="0E62992E">
      <w:pPr>
        <w:spacing w:before="240" w:after="240"/>
        <w:jc w:val="both"/>
      </w:pPr>
      <w:r w:rsidRPr="0E62992E">
        <w:rPr>
          <w:rFonts w:ascii="Times New Roman" w:eastAsia="Times New Roman" w:hAnsi="Times New Roman" w:cs="Times New Roman"/>
          <w:sz w:val="22"/>
          <w:szCs w:val="22"/>
        </w:rPr>
        <w:t>The research on cloud brokerage establishes formal methods to assess different cloud services by using three assessment criteria which include cost efficiency and performance metrics and service capabilities. The brokerage frameworks utilize multi-objective optimization methods to assess different service providers and identify the most appropriate deployment options for particular workloads. The brokerage systems help organizations choose the best cloud resources by evaluating pricing models and quality-of-service guarantees and infrastructure performance. The majority of brokerage platforms function as decision-support systems which produce analytical recommendations that users must implement to handle their workload migration needs. The brokerage models generate insights which remain separate from the operational processes needed to transfer applications between different cloud environments.</w:t>
      </w:r>
    </w:p>
    <w:p w14:paraId="1087DC49" w14:textId="6EB1FA93" w:rsidR="707B0935" w:rsidRDefault="707B0935" w:rsidP="0E62992E">
      <w:pPr>
        <w:spacing w:before="240" w:after="240"/>
        <w:jc w:val="both"/>
      </w:pPr>
      <w:r w:rsidRPr="0E62992E">
        <w:rPr>
          <w:rFonts w:ascii="Times New Roman" w:eastAsia="Times New Roman" w:hAnsi="Times New Roman" w:cs="Times New Roman"/>
          <w:sz w:val="22"/>
          <w:szCs w:val="22"/>
        </w:rPr>
        <w:t>Current multi-cloud systems face a major problem because they lack a unified method for selecting providers and executing migration processes between different cloud systems. The brokerage frameworks identify deployment environments with optimal economic and technical performance, but they remain unable to connect with orchestration systems which manage workload deployment and application state synchronization and service traffic control. Migration decisions need manual work because the system lacks automated processes which handle operational changes, which leads to decreased performance and extended response times. The solution to this problem requires the direct connection of brokerage-driven optimization models with automated orchestration frameworks which handle workload migration and infrastructure provisioning and service maintenance across cloud providers.</w:t>
      </w:r>
    </w:p>
    <w:p w14:paraId="63F413A3" w14:textId="76B1AC51" w:rsidR="348E4652" w:rsidRDefault="348E4652" w:rsidP="0E62992E">
      <w:pPr>
        <w:spacing w:before="240" w:after="240"/>
        <w:jc w:val="both"/>
        <w:rPr>
          <w:rFonts w:ascii="Times New Roman" w:eastAsia="Times New Roman" w:hAnsi="Times New Roman" w:cs="Times New Roman"/>
          <w:b/>
          <w:bCs/>
          <w:color w:val="000000" w:themeColor="text1"/>
          <w:sz w:val="22"/>
          <w:szCs w:val="22"/>
        </w:rPr>
      </w:pPr>
      <w:r w:rsidRPr="0E62992E">
        <w:rPr>
          <w:rFonts w:ascii="Times New Roman" w:eastAsia="Times New Roman" w:hAnsi="Times New Roman" w:cs="Times New Roman"/>
          <w:b/>
          <w:bCs/>
          <w:color w:val="000000" w:themeColor="text1"/>
          <w:sz w:val="22"/>
          <w:szCs w:val="22"/>
        </w:rPr>
        <w:t>Static Disaster Recovery Architectures</w:t>
      </w:r>
    </w:p>
    <w:p w14:paraId="2F96A095" w14:textId="33437E0D" w:rsidR="6116E7D2" w:rsidRDefault="6116E7D2" w:rsidP="0E62992E">
      <w:pPr>
        <w:spacing w:before="240" w:after="240"/>
        <w:jc w:val="both"/>
        <w:rPr>
          <w:rFonts w:ascii="Times New Roman" w:eastAsia="Times New Roman" w:hAnsi="Times New Roman" w:cs="Times New Roman"/>
          <w:color w:val="000000" w:themeColor="text1"/>
          <w:sz w:val="22"/>
          <w:szCs w:val="22"/>
        </w:rPr>
      </w:pPr>
      <w:r w:rsidRPr="0E62992E">
        <w:rPr>
          <w:rFonts w:ascii="Times New Roman" w:eastAsia="Times New Roman" w:hAnsi="Times New Roman" w:cs="Times New Roman"/>
          <w:color w:val="000000" w:themeColor="text1"/>
          <w:sz w:val="22"/>
          <w:szCs w:val="22"/>
        </w:rPr>
        <w:t>Disaster recovery research evaluates system resilience in distributed computing environments using metrics such as Recovery Time Objective (RTO) and Recovery Point Objective (RPO) to measure the effectiveness of recovery strategies across cloud infrastructures [18]</w:t>
      </w:r>
      <w:proofErr w:type="gramStart"/>
      <w:r w:rsidRPr="0E62992E">
        <w:rPr>
          <w:rFonts w:ascii="Times New Roman" w:eastAsia="Times New Roman" w:hAnsi="Times New Roman" w:cs="Times New Roman"/>
          <w:color w:val="000000" w:themeColor="text1"/>
          <w:sz w:val="22"/>
          <w:szCs w:val="22"/>
        </w:rPr>
        <w:t>–[</w:t>
      </w:r>
      <w:proofErr w:type="gramEnd"/>
      <w:r w:rsidRPr="0E62992E">
        <w:rPr>
          <w:rFonts w:ascii="Times New Roman" w:eastAsia="Times New Roman" w:hAnsi="Times New Roman" w:cs="Times New Roman"/>
          <w:color w:val="000000" w:themeColor="text1"/>
          <w:sz w:val="22"/>
          <w:szCs w:val="22"/>
        </w:rPr>
        <w:t xml:space="preserve">20]. The existing disaster recovery solutions operate on static redundancy models, which include hot standby and warm standby and active-active deployments across specific infrastructure environments. The architectures establish service availability through the maintenance of application instance replicas and backup resources, which take over operational control during system failures. The approaches need organizations to maintain backup systems throughout their operations, which results in higher operational expenses and suboptimal use of their resources. </w:t>
      </w:r>
    </w:p>
    <w:p w14:paraId="3BD4636D" w14:textId="663CBE11" w:rsidR="6116E7D2" w:rsidRDefault="6116E7D2" w:rsidP="4D698771">
      <w:pPr>
        <w:spacing w:before="240" w:after="240"/>
        <w:jc w:val="both"/>
        <w:rPr>
          <w:rFonts w:ascii="Times New Roman" w:eastAsia="Times New Roman" w:hAnsi="Times New Roman" w:cs="Times New Roman"/>
          <w:color w:val="000000" w:themeColor="text1"/>
          <w:sz w:val="22"/>
          <w:szCs w:val="22"/>
        </w:rPr>
      </w:pPr>
      <w:r w:rsidRPr="4D698771">
        <w:rPr>
          <w:rFonts w:ascii="Times New Roman" w:eastAsia="Times New Roman" w:hAnsi="Times New Roman" w:cs="Times New Roman"/>
          <w:color w:val="000000" w:themeColor="text1"/>
          <w:sz w:val="22"/>
          <w:szCs w:val="22"/>
        </w:rPr>
        <w:t>Traditional disaster recovery strategies establish failover targets, but they only work with fixed conditions instead of adjusting to changing operational situations, which include variable cloud costs and different workload patterns and slow infrastructure performance decline. Disaster recovery mechanisms remain static because they depend on existing infrastructure, which focuses on maintaining system availability instead of achieving economic efficiency and performance improvement. The research challenge requires scientists to build disaster recovery systems, which need to support multiple cloud environments, and process multiple objectives, and handle automated system operations. The systems will make real-time operational changes between backup systems based on three factors, which include system reliability and operational costs and the quality of services, while the system ensures uninterrupted service during hardware failures</w:t>
      </w:r>
      <w:r w:rsidR="64D20A18" w:rsidRPr="4D698771">
        <w:rPr>
          <w:rFonts w:ascii="Times New Roman" w:eastAsia="Times New Roman" w:hAnsi="Times New Roman" w:cs="Times New Roman"/>
          <w:color w:val="000000" w:themeColor="text1"/>
          <w:sz w:val="22"/>
          <w:szCs w:val="22"/>
        </w:rPr>
        <w:t>.</w:t>
      </w:r>
    </w:p>
    <w:p w14:paraId="6643F2D3" w14:textId="0B6BE985" w:rsidR="0E6C0317" w:rsidRDefault="0E6C0317" w:rsidP="4D698771">
      <w:pPr>
        <w:pStyle w:val="Heading2"/>
        <w:spacing w:before="360"/>
        <w:jc w:val="both"/>
        <w:rPr>
          <w:rFonts w:ascii="Times New Roman" w:eastAsia="Times New Roman" w:hAnsi="Times New Roman" w:cs="Times New Roman"/>
          <w:b/>
          <w:bCs/>
          <w:color w:val="000000" w:themeColor="text1"/>
          <w:sz w:val="34"/>
          <w:szCs w:val="34"/>
        </w:rPr>
      </w:pPr>
      <w:r w:rsidRPr="4D698771">
        <w:rPr>
          <w:rFonts w:ascii="Times New Roman" w:eastAsia="Times New Roman" w:hAnsi="Times New Roman" w:cs="Times New Roman"/>
          <w:b/>
          <w:bCs/>
          <w:color w:val="000000" w:themeColor="text1"/>
          <w:sz w:val="34"/>
          <w:szCs w:val="34"/>
        </w:rPr>
        <w:lastRenderedPageBreak/>
        <w:t>3. S</w:t>
      </w:r>
      <w:r w:rsidR="51632D17" w:rsidRPr="4D698771">
        <w:rPr>
          <w:rFonts w:ascii="Times New Roman" w:eastAsia="Times New Roman" w:hAnsi="Times New Roman" w:cs="Times New Roman"/>
          <w:b/>
          <w:bCs/>
          <w:color w:val="000000" w:themeColor="text1"/>
          <w:sz w:val="34"/>
          <w:szCs w:val="34"/>
        </w:rPr>
        <w:t>YSTEM MODEL AND ARCHITECTURE</w:t>
      </w:r>
    </w:p>
    <w:p w14:paraId="6D31B9C9" w14:textId="6748D37B" w:rsidR="249F34F8" w:rsidRDefault="249F34F8" w:rsidP="34EEC583">
      <w:pPr>
        <w:spacing w:before="240" w:after="240"/>
        <w:jc w:val="both"/>
        <w:rPr>
          <w:rFonts w:ascii="Times New Roman" w:eastAsia="Times New Roman" w:hAnsi="Times New Roman" w:cs="Times New Roman"/>
          <w:b/>
          <w:bCs/>
          <w:color w:val="000000" w:themeColor="text1"/>
          <w:sz w:val="32"/>
          <w:szCs w:val="32"/>
        </w:rPr>
      </w:pPr>
      <w:r w:rsidRPr="34EEC583">
        <w:rPr>
          <w:rFonts w:ascii="Times New Roman" w:eastAsia="Times New Roman" w:hAnsi="Times New Roman" w:cs="Times New Roman"/>
          <w:b/>
          <w:bCs/>
          <w:color w:val="000000" w:themeColor="text1"/>
          <w:sz w:val="32"/>
          <w:szCs w:val="32"/>
        </w:rPr>
        <w:t>3.1. OVERVIEW</w:t>
      </w:r>
    </w:p>
    <w:p w14:paraId="69D4877F" w14:textId="7CF29CE9"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The proposed Smart Multi-Cloud Workload Migration framework is designed to enable adaptive and intelligent migration of application workloads across heterogeneous cloud providers while ensuring service continuity and minimizing operational disruption. The system integrates container-based portability, automated orchestration, DNS-based traffic abstraction, and a decision-driven cloud selection mechanism within a unified architecture.</w:t>
      </w:r>
    </w:p>
    <w:p w14:paraId="2C8EC9F9" w14:textId="16AD6D52"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A fundamental design objective of the system is to support both modern containerized applications and legacy non-containerized workloads. While containerized applications can be directly migrated across cloud environments, many enterprise workloads remain deployed on traditional virtual machines or platform-specific runtime environments. To address this limitation, the proposed framework introduces a Containerization Adapter Layer, which converts legacy applications into containerized deployment artifacts before initiating the migration workflow.</w:t>
      </w:r>
    </w:p>
    <w:p w14:paraId="77775902" w14:textId="467383E2"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The architecture therefore enables seamless workload mobility regardless of the original application deployment model.</w:t>
      </w:r>
    </w:p>
    <w:p w14:paraId="14F5FB03" w14:textId="6A6E8377"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At a high level, the system consists of the following core components:</w:t>
      </w:r>
    </w:p>
    <w:p w14:paraId="137F4B7E" w14:textId="2EC62561"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 Monitoring and Metrics Collection Layer</w:t>
      </w:r>
    </w:p>
    <w:p w14:paraId="39B5788F" w14:textId="7179085E"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 Smart Decision Engine</w:t>
      </w:r>
    </w:p>
    <w:p w14:paraId="06B5343E" w14:textId="431330B2"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 Containerization Adapter</w:t>
      </w:r>
    </w:p>
    <w:p w14:paraId="38F63F56" w14:textId="03F26C83"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 Migration Orchestrator</w:t>
      </w:r>
    </w:p>
    <w:p w14:paraId="4E58F1F3" w14:textId="365113F3"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 Container Registry</w:t>
      </w:r>
    </w:p>
    <w:p w14:paraId="56B67D7F" w14:textId="37DB434C"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 DNS-Based Traffic Management Module</w:t>
      </w:r>
    </w:p>
    <w:p w14:paraId="7205A859" w14:textId="3727BEBA"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 Multi-Cloud Execution Environments</w:t>
      </w:r>
    </w:p>
    <w:p w14:paraId="1949C436" w14:textId="33A67EFB" w:rsidR="249F34F8" w:rsidRDefault="249F34F8"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These components collectively enable automated detection of migration conditions, intelligent target cloud selection, workload relocation, and seamless traffic redirection.</w:t>
      </w:r>
    </w:p>
    <w:p w14:paraId="1327C2EE" w14:textId="1216B081" w:rsidR="4D698771" w:rsidRDefault="561FC093" w:rsidP="34EEC583">
      <w:pPr>
        <w:spacing w:before="240" w:after="240"/>
        <w:jc w:val="both"/>
        <w:rPr>
          <w:rFonts w:ascii="Times New Roman" w:eastAsia="Times New Roman" w:hAnsi="Times New Roman" w:cs="Times New Roman"/>
          <w:b/>
          <w:bCs/>
          <w:color w:val="000000" w:themeColor="text1"/>
          <w:sz w:val="32"/>
          <w:szCs w:val="32"/>
        </w:rPr>
      </w:pPr>
      <w:r w:rsidRPr="34EEC583">
        <w:rPr>
          <w:rFonts w:ascii="Times New Roman" w:eastAsia="Times New Roman" w:hAnsi="Times New Roman" w:cs="Times New Roman"/>
          <w:b/>
          <w:bCs/>
          <w:color w:val="000000" w:themeColor="text1"/>
          <w:sz w:val="32"/>
          <w:szCs w:val="32"/>
        </w:rPr>
        <w:t>3.2. SYSTEM ARCHITECTURE</w:t>
      </w:r>
    </w:p>
    <w:p w14:paraId="1F06A85E" w14:textId="7FF1117F" w:rsidR="60F17AD0" w:rsidRDefault="1296D6C5" w:rsidP="679B22C1">
      <w:pPr>
        <w:spacing w:before="240" w:after="240"/>
        <w:jc w:val="both"/>
        <w:rPr>
          <w:rFonts w:ascii="Times New Roman" w:eastAsia="Times New Roman" w:hAnsi="Times New Roman" w:cs="Times New Roman"/>
          <w:color w:val="000000" w:themeColor="text1"/>
          <w:sz w:val="22"/>
          <w:szCs w:val="22"/>
        </w:rPr>
      </w:pPr>
      <w:r w:rsidRPr="679B22C1">
        <w:rPr>
          <w:rFonts w:ascii="Times New Roman" w:eastAsia="Times New Roman" w:hAnsi="Times New Roman" w:cs="Times New Roman"/>
          <w:color w:val="000000" w:themeColor="text1"/>
          <w:sz w:val="22"/>
          <w:szCs w:val="22"/>
        </w:rPr>
        <w:t xml:space="preserve">The </w:t>
      </w:r>
      <w:r w:rsidR="378573D8" w:rsidRPr="679B22C1">
        <w:rPr>
          <w:rFonts w:ascii="Times New Roman" w:eastAsia="Times New Roman" w:hAnsi="Times New Roman" w:cs="Times New Roman"/>
          <w:color w:val="000000" w:themeColor="text1"/>
          <w:sz w:val="22"/>
          <w:szCs w:val="22"/>
        </w:rPr>
        <w:t>architecture</w:t>
      </w:r>
      <w:r w:rsidR="4D3F326E" w:rsidRPr="679B22C1">
        <w:rPr>
          <w:rFonts w:ascii="Times New Roman" w:eastAsia="Times New Roman" w:hAnsi="Times New Roman" w:cs="Times New Roman"/>
          <w:color w:val="000000" w:themeColor="text1"/>
          <w:sz w:val="22"/>
          <w:szCs w:val="22"/>
        </w:rPr>
        <w:t xml:space="preserve"> </w:t>
      </w:r>
      <w:r w:rsidRPr="679B22C1">
        <w:rPr>
          <w:rFonts w:ascii="Times New Roman" w:eastAsia="Times New Roman" w:hAnsi="Times New Roman" w:cs="Times New Roman"/>
          <w:color w:val="000000" w:themeColor="text1"/>
          <w:sz w:val="22"/>
          <w:szCs w:val="22"/>
        </w:rPr>
        <w:t>of the proposed system is illustrated in below figure.</w:t>
      </w:r>
    </w:p>
    <w:p w14:paraId="08F8054D" w14:textId="77777777" w:rsidR="00CC7876" w:rsidRDefault="00CC7876" w:rsidP="679B22C1">
      <w:pPr>
        <w:spacing w:before="240" w:after="240"/>
        <w:jc w:val="both"/>
        <w:rPr>
          <w:rFonts w:ascii="Times New Roman" w:eastAsia="Times New Roman" w:hAnsi="Times New Roman" w:cs="Times New Roman"/>
          <w:color w:val="000000" w:themeColor="text1"/>
          <w:sz w:val="22"/>
          <w:szCs w:val="22"/>
        </w:rPr>
        <w:sectPr w:rsidR="00CC7876">
          <w:headerReference w:type="default" r:id="rId8"/>
          <w:footerReference w:type="default" r:id="rId9"/>
          <w:headerReference w:type="first" r:id="rId10"/>
          <w:footerReference w:type="first" r:id="rId11"/>
          <w:pgSz w:w="11906" w:h="16838"/>
          <w:pgMar w:top="1440" w:right="1440" w:bottom="1440" w:left="1440" w:header="720" w:footer="720" w:gutter="0"/>
          <w:cols w:num="2" w:space="720"/>
          <w:titlePg/>
          <w:docGrid w:linePitch="360"/>
        </w:sectPr>
      </w:pPr>
    </w:p>
    <w:p w14:paraId="1632600F" w14:textId="77777777" w:rsidR="00F14704" w:rsidRDefault="00CC7876" w:rsidP="00F14704">
      <w:pPr>
        <w:keepNext/>
        <w:spacing w:before="240" w:after="240"/>
        <w:jc w:val="both"/>
      </w:pPr>
      <w:r>
        <w:rPr>
          <w:rFonts w:ascii="Times New Roman" w:eastAsia="Times New Roman" w:hAnsi="Times New Roman" w:cs="Times New Roman"/>
          <w:noProof/>
          <w:color w:val="000000" w:themeColor="text1"/>
          <w:sz w:val="22"/>
          <w:szCs w:val="22"/>
        </w:rPr>
        <w:lastRenderedPageBreak/>
        <w:drawing>
          <wp:inline distT="0" distB="0" distL="0" distR="0" wp14:anchorId="0C1B0F80" wp14:editId="79B8C27C">
            <wp:extent cx="5809773" cy="2755900"/>
            <wp:effectExtent l="0" t="0" r="635" b="6350"/>
            <wp:docPr id="156387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72958" name="Picture 15638729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35212" cy="2767967"/>
                    </a:xfrm>
                    <a:prstGeom prst="rect">
                      <a:avLst/>
                    </a:prstGeom>
                  </pic:spPr>
                </pic:pic>
              </a:graphicData>
            </a:graphic>
          </wp:inline>
        </w:drawing>
      </w:r>
    </w:p>
    <w:p w14:paraId="2DF00F93" w14:textId="316F76C1" w:rsidR="00CC7876" w:rsidRDefault="00F14704" w:rsidP="00F14704">
      <w:pPr>
        <w:pStyle w:val="Caption"/>
        <w:jc w:val="center"/>
        <w:rPr>
          <w:rFonts w:ascii="Times New Roman" w:eastAsia="Times New Roman" w:hAnsi="Times New Roman" w:cs="Times New Roman"/>
          <w:color w:val="000000" w:themeColor="text1"/>
          <w:sz w:val="22"/>
          <w:szCs w:val="22"/>
        </w:rPr>
        <w:sectPr w:rsidR="00CC7876" w:rsidSect="00F14704">
          <w:type w:val="continuous"/>
          <w:pgSz w:w="11906" w:h="16838"/>
          <w:pgMar w:top="1440" w:right="1440" w:bottom="1440" w:left="1440" w:header="720" w:footer="720" w:gutter="0"/>
          <w:cols w:space="720"/>
          <w:docGrid w:linePitch="360"/>
        </w:sectPr>
      </w:pPr>
      <w:r>
        <w:t xml:space="preserve">Figure </w:t>
      </w:r>
      <w:fldSimple w:instr=" SEQ Figure \* ARABIC ">
        <w:r>
          <w:rPr>
            <w:noProof/>
          </w:rPr>
          <w:t>1</w:t>
        </w:r>
      </w:fldSimple>
      <w:r>
        <w:t>.</w:t>
      </w:r>
      <w:r w:rsidRPr="00D512EF">
        <w:t xml:space="preserve"> System architecture of the proposed </w:t>
      </w:r>
      <w:proofErr w:type="gramStart"/>
      <w:r w:rsidRPr="00D512EF">
        <w:t>Smart  Multi</w:t>
      </w:r>
      <w:proofErr w:type="gramEnd"/>
      <w:r w:rsidRPr="00D512EF">
        <w:t>-Cloud Workload Migration framework</w:t>
      </w:r>
    </w:p>
    <w:p w14:paraId="14154127" w14:textId="29786DDA" w:rsidR="00CC7876" w:rsidRDefault="00CC7876" w:rsidP="679B22C1">
      <w:pPr>
        <w:spacing w:before="240" w:after="240"/>
        <w:jc w:val="both"/>
        <w:rPr>
          <w:rFonts w:ascii="Times New Roman" w:eastAsia="Times New Roman" w:hAnsi="Times New Roman" w:cs="Times New Roman"/>
          <w:color w:val="000000" w:themeColor="text1"/>
          <w:sz w:val="22"/>
          <w:szCs w:val="22"/>
        </w:rPr>
      </w:pPr>
    </w:p>
    <w:p w14:paraId="033D2803" w14:textId="682C4B99" w:rsidR="7D365CA3" w:rsidRDefault="7D365CA3" w:rsidP="34EEC583">
      <w:pPr>
        <w:spacing w:before="240" w:after="24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The system follows a layered architecture consisting of four primary layers:</w:t>
      </w:r>
    </w:p>
    <w:p w14:paraId="55A1B93E" w14:textId="0A712881" w:rsidR="7D365CA3" w:rsidRDefault="7D365CA3" w:rsidP="34EEC583">
      <w:pPr>
        <w:pStyle w:val="ListParagraph"/>
        <w:keepLines/>
        <w:widowControl w:val="0"/>
        <w:numPr>
          <w:ilvl w:val="0"/>
          <w:numId w:val="1"/>
        </w:numPr>
        <w:spacing w:after="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User Access Laye</w:t>
      </w:r>
      <w:r w:rsidR="06F4AD93" w:rsidRPr="34EEC583">
        <w:rPr>
          <w:rFonts w:ascii="Times New Roman" w:eastAsia="Times New Roman" w:hAnsi="Times New Roman" w:cs="Times New Roman"/>
          <w:color w:val="000000" w:themeColor="text1"/>
          <w:sz w:val="22"/>
          <w:szCs w:val="22"/>
        </w:rPr>
        <w:t>r</w:t>
      </w:r>
    </w:p>
    <w:p w14:paraId="751554C0" w14:textId="427B9DCF" w:rsidR="7D365CA3" w:rsidRDefault="7D365CA3" w:rsidP="34EEC583">
      <w:pPr>
        <w:pStyle w:val="ListParagraph"/>
        <w:keepLines/>
        <w:widowControl w:val="0"/>
        <w:numPr>
          <w:ilvl w:val="0"/>
          <w:numId w:val="1"/>
        </w:numPr>
        <w:spacing w:after="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Control and Decision Layer</w:t>
      </w:r>
    </w:p>
    <w:p w14:paraId="4FA66962" w14:textId="0290EB4D" w:rsidR="7D365CA3" w:rsidRDefault="7D365CA3" w:rsidP="34EEC583">
      <w:pPr>
        <w:pStyle w:val="ListParagraph"/>
        <w:keepLines/>
        <w:widowControl w:val="0"/>
        <w:numPr>
          <w:ilvl w:val="0"/>
          <w:numId w:val="1"/>
        </w:numPr>
        <w:spacing w:after="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Migration Orchestration Laye</w:t>
      </w:r>
      <w:r w:rsidR="71D89A5B" w:rsidRPr="34EEC583">
        <w:rPr>
          <w:rFonts w:ascii="Times New Roman" w:eastAsia="Times New Roman" w:hAnsi="Times New Roman" w:cs="Times New Roman"/>
          <w:color w:val="000000" w:themeColor="text1"/>
          <w:sz w:val="22"/>
          <w:szCs w:val="22"/>
        </w:rPr>
        <w:t>r</w:t>
      </w:r>
    </w:p>
    <w:p w14:paraId="66148055" w14:textId="2EC6183C" w:rsidR="7D365CA3" w:rsidRDefault="7D365CA3" w:rsidP="34EEC583">
      <w:pPr>
        <w:pStyle w:val="ListParagraph"/>
        <w:keepLines/>
        <w:widowControl w:val="0"/>
        <w:numPr>
          <w:ilvl w:val="0"/>
          <w:numId w:val="1"/>
        </w:numPr>
        <w:spacing w:after="0"/>
        <w:jc w:val="both"/>
        <w:rPr>
          <w:rFonts w:ascii="Times New Roman" w:eastAsia="Times New Roman" w:hAnsi="Times New Roman" w:cs="Times New Roman"/>
          <w:color w:val="000000" w:themeColor="text1"/>
          <w:sz w:val="22"/>
          <w:szCs w:val="22"/>
        </w:rPr>
      </w:pPr>
      <w:r w:rsidRPr="34EEC583">
        <w:rPr>
          <w:rFonts w:ascii="Times New Roman" w:eastAsia="Times New Roman" w:hAnsi="Times New Roman" w:cs="Times New Roman"/>
          <w:color w:val="000000" w:themeColor="text1"/>
          <w:sz w:val="22"/>
          <w:szCs w:val="22"/>
        </w:rPr>
        <w:t>Multi-Cloud Infrastructure Layer</w:t>
      </w:r>
    </w:p>
    <w:p w14:paraId="62814BAE" w14:textId="622DD38E" w:rsidR="7D365CA3" w:rsidRDefault="7D365CA3" w:rsidP="34EEC583">
      <w:pPr>
        <w:spacing w:before="240" w:after="240"/>
        <w:jc w:val="both"/>
      </w:pPr>
      <w:r w:rsidRPr="60F17AD0">
        <w:rPr>
          <w:rFonts w:ascii="Times New Roman" w:eastAsia="Times New Roman" w:hAnsi="Times New Roman" w:cs="Times New Roman"/>
          <w:color w:val="000000" w:themeColor="text1"/>
          <w:sz w:val="22"/>
          <w:szCs w:val="22"/>
        </w:rPr>
        <w:t>This layered architecture ensures modularity, scalability, and portability across heterogeneous cloud platforms.</w:t>
      </w:r>
    </w:p>
    <w:p w14:paraId="0CC1A8E8" w14:textId="425DDABA" w:rsidR="60F17AD0" w:rsidRDefault="60F17AD0" w:rsidP="60F17AD0">
      <w:pPr>
        <w:spacing w:before="240" w:after="240"/>
        <w:jc w:val="both"/>
        <w:rPr>
          <w:rFonts w:ascii="Times New Roman" w:eastAsia="Times New Roman" w:hAnsi="Times New Roman" w:cs="Times New Roman"/>
          <w:color w:val="000000" w:themeColor="text1"/>
          <w:sz w:val="22"/>
          <w:szCs w:val="22"/>
        </w:rPr>
      </w:pPr>
    </w:p>
    <w:p w14:paraId="56601CCD" w14:textId="77777777" w:rsidR="00703384" w:rsidRDefault="00703384" w:rsidP="00703384">
      <w:pPr>
        <w:spacing w:before="240" w:after="240"/>
        <w:jc w:val="both"/>
        <w:rPr>
          <w:rFonts w:ascii="Times New Roman" w:eastAsia="Times New Roman" w:hAnsi="Times New Roman" w:cs="Times New Roman"/>
          <w:b/>
          <w:bCs/>
          <w:color w:val="000000" w:themeColor="text1"/>
        </w:rPr>
      </w:pPr>
      <w:r w:rsidRPr="332C9747">
        <w:rPr>
          <w:rFonts w:ascii="Times New Roman" w:eastAsia="Times New Roman" w:hAnsi="Times New Roman" w:cs="Times New Roman"/>
          <w:b/>
          <w:bCs/>
          <w:color w:val="000000" w:themeColor="text1"/>
          <w:sz w:val="28"/>
          <w:szCs w:val="28"/>
        </w:rPr>
        <w:t>3.2.1 USER ACCESS LAYER</w:t>
      </w:r>
    </w:p>
    <w:p w14:paraId="403DBD0A" w14:textId="77777777" w:rsidR="00703384" w:rsidRDefault="00703384" w:rsidP="00703384">
      <w:pPr>
        <w:spacing w:after="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In the </w:t>
      </w:r>
      <w:r w:rsidRPr="332C9747">
        <w:rPr>
          <w:rFonts w:ascii="Times New Roman" w:eastAsia="Times New Roman" w:hAnsi="Times New Roman" w:cs="Times New Roman"/>
          <w:b/>
          <w:bCs/>
          <w:color w:val="000000" w:themeColor="text1"/>
          <w:sz w:val="22"/>
          <w:szCs w:val="22"/>
        </w:rPr>
        <w:t>User Access Layer</w:t>
      </w:r>
      <w:r w:rsidRPr="332C9747">
        <w:rPr>
          <w:rFonts w:ascii="Times New Roman" w:eastAsia="Times New Roman" w:hAnsi="Times New Roman" w:cs="Times New Roman"/>
          <w:color w:val="000000" w:themeColor="text1"/>
          <w:sz w:val="22"/>
          <w:szCs w:val="22"/>
        </w:rPr>
        <w:t>, users interact with the application through a domain name (e.g., app.service.com) rather than a cloud-specific endpoint. A DNS manager configured with low Time-To-Live (TTL) records abstracts the underlying infrastructure and enables dynamic traffic redirection during migration.</w:t>
      </w:r>
    </w:p>
    <w:p w14:paraId="1B89F6EF" w14:textId="77777777" w:rsidR="00703384" w:rsidRDefault="00703384" w:rsidP="00703384">
      <w:pPr>
        <w:spacing w:after="0"/>
        <w:jc w:val="both"/>
        <w:rPr>
          <w:rFonts w:ascii="Times New Roman" w:eastAsia="Times New Roman" w:hAnsi="Times New Roman" w:cs="Times New Roman"/>
          <w:color w:val="000000" w:themeColor="text1"/>
          <w:sz w:val="22"/>
          <w:szCs w:val="22"/>
        </w:rPr>
      </w:pPr>
    </w:p>
    <w:p w14:paraId="16D3018C" w14:textId="77777777" w:rsidR="00703384" w:rsidRDefault="00703384" w:rsidP="00703384">
      <w:pPr>
        <w:spacing w:after="0"/>
        <w:jc w:val="both"/>
        <w:rPr>
          <w:rFonts w:ascii="Times New Roman" w:eastAsia="Times New Roman" w:hAnsi="Times New Roman" w:cs="Times New Roman"/>
          <w:b/>
          <w:bCs/>
          <w:color w:val="000000" w:themeColor="text1"/>
          <w:sz w:val="26"/>
          <w:szCs w:val="26"/>
        </w:rPr>
      </w:pPr>
      <w:r w:rsidRPr="332C9747">
        <w:rPr>
          <w:rFonts w:ascii="Times New Roman" w:eastAsia="Times New Roman" w:hAnsi="Times New Roman" w:cs="Times New Roman"/>
          <w:b/>
          <w:bCs/>
          <w:color w:val="000000" w:themeColor="text1"/>
          <w:sz w:val="26"/>
          <w:szCs w:val="26"/>
        </w:rPr>
        <w:t>DNS-Based Traffic Management</w:t>
      </w:r>
    </w:p>
    <w:p w14:paraId="37EF1FB7"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To maintain service continuity during migration, the system employs DNS-based </w:t>
      </w:r>
      <w:r w:rsidRPr="332C9747">
        <w:rPr>
          <w:rFonts w:ascii="Times New Roman" w:eastAsia="Times New Roman" w:hAnsi="Times New Roman" w:cs="Times New Roman"/>
          <w:color w:val="000000" w:themeColor="text1"/>
          <w:sz w:val="22"/>
          <w:szCs w:val="22"/>
        </w:rPr>
        <w:t>traffic redirection. Instead of directly accessing cloud-specific IP addresses, users interact with the application through a stable domain name.</w:t>
      </w:r>
    </w:p>
    <w:p w14:paraId="6BA090BC"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For example:</w:t>
      </w:r>
    </w:p>
    <w:p w14:paraId="09DD73A9"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app.service.com</w:t>
      </w:r>
    </w:p>
    <w:p w14:paraId="0FAADB83"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During migration, DNS records are dynamically updated to redirect traffic from the original cloud provider to the new deployment location.</w:t>
      </w:r>
    </w:p>
    <w:p w14:paraId="28B3DE26"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To minimize service disruption, DNS records are configured with low Time-To-Live (TTL) values, enabling faster propagation of updated endpoints. Managed DNS services such as AWS Route53, Cloudflare DNS, or Google Cloud DNS can be used to implement this functionality.</w:t>
      </w:r>
    </w:p>
    <w:p w14:paraId="175E1C11" w14:textId="77777777" w:rsidR="00703384" w:rsidRDefault="00703384" w:rsidP="00703384">
      <w:pPr>
        <w:spacing w:before="240" w:after="240"/>
        <w:jc w:val="both"/>
      </w:pPr>
      <w:r w:rsidRPr="332C9747">
        <w:rPr>
          <w:rFonts w:ascii="Times New Roman" w:eastAsia="Times New Roman" w:hAnsi="Times New Roman" w:cs="Times New Roman"/>
          <w:color w:val="000000" w:themeColor="text1"/>
          <w:sz w:val="22"/>
          <w:szCs w:val="22"/>
        </w:rPr>
        <w:t>This approach abstracts infrastructure changes from end users and ensures continuous service accessibility during cloud transitions.</w:t>
      </w:r>
    </w:p>
    <w:p w14:paraId="10677DDD" w14:textId="77777777" w:rsidR="00703384" w:rsidRDefault="00703384" w:rsidP="00703384">
      <w:pPr>
        <w:spacing w:before="240" w:after="240"/>
        <w:jc w:val="both"/>
        <w:rPr>
          <w:rFonts w:ascii="Times New Roman" w:eastAsia="Times New Roman" w:hAnsi="Times New Roman" w:cs="Times New Roman"/>
          <w:b/>
          <w:bCs/>
          <w:color w:val="000000" w:themeColor="text1"/>
        </w:rPr>
      </w:pPr>
      <w:r w:rsidRPr="332C9747">
        <w:rPr>
          <w:rFonts w:ascii="Times New Roman" w:eastAsia="Times New Roman" w:hAnsi="Times New Roman" w:cs="Times New Roman"/>
          <w:b/>
          <w:bCs/>
          <w:color w:val="000000" w:themeColor="text1"/>
          <w:sz w:val="28"/>
          <w:szCs w:val="28"/>
        </w:rPr>
        <w:t>3.2.2 CONTROL AND DECISION LAYER</w:t>
      </w:r>
    </w:p>
    <w:p w14:paraId="6D5437E9"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The </w:t>
      </w:r>
      <w:r w:rsidRPr="332C9747">
        <w:rPr>
          <w:rFonts w:ascii="Times New Roman" w:eastAsia="Times New Roman" w:hAnsi="Times New Roman" w:cs="Times New Roman"/>
          <w:b/>
          <w:bCs/>
          <w:color w:val="000000" w:themeColor="text1"/>
          <w:sz w:val="22"/>
          <w:szCs w:val="22"/>
        </w:rPr>
        <w:t>Control and Decision Layer</w:t>
      </w:r>
      <w:r w:rsidRPr="332C9747">
        <w:rPr>
          <w:rFonts w:ascii="Times New Roman" w:eastAsia="Times New Roman" w:hAnsi="Times New Roman" w:cs="Times New Roman"/>
          <w:color w:val="000000" w:themeColor="text1"/>
          <w:sz w:val="22"/>
          <w:szCs w:val="22"/>
        </w:rPr>
        <w:t xml:space="preserve"> continuously monitor system metrics and evaluates cloud </w:t>
      </w:r>
      <w:r w:rsidRPr="332C9747">
        <w:rPr>
          <w:rFonts w:ascii="Times New Roman" w:eastAsia="Times New Roman" w:hAnsi="Times New Roman" w:cs="Times New Roman"/>
          <w:color w:val="000000" w:themeColor="text1"/>
          <w:sz w:val="22"/>
          <w:szCs w:val="22"/>
        </w:rPr>
        <w:lastRenderedPageBreak/>
        <w:t>providers using a multi-criteria decision model. Based on the collected metrics, the system determines whether migration is required and selects the most suitable cloud provider.</w:t>
      </w:r>
    </w:p>
    <w:p w14:paraId="52F1E16D" w14:textId="77777777" w:rsidR="00703384" w:rsidRDefault="00703384" w:rsidP="00703384">
      <w:pPr>
        <w:spacing w:after="0"/>
        <w:jc w:val="both"/>
        <w:rPr>
          <w:rFonts w:ascii="Times New Roman" w:eastAsia="Times New Roman" w:hAnsi="Times New Roman" w:cs="Times New Roman"/>
          <w:b/>
          <w:bCs/>
          <w:color w:val="000000" w:themeColor="text1"/>
          <w:sz w:val="26"/>
          <w:szCs w:val="26"/>
        </w:rPr>
      </w:pPr>
      <w:r w:rsidRPr="332C9747">
        <w:rPr>
          <w:rFonts w:ascii="Times New Roman" w:eastAsia="Times New Roman" w:hAnsi="Times New Roman" w:cs="Times New Roman"/>
          <w:b/>
          <w:bCs/>
          <w:color w:val="000000" w:themeColor="text1"/>
          <w:sz w:val="26"/>
          <w:szCs w:val="26"/>
        </w:rPr>
        <w:t>Monitoring and Metrics Collection Layer</w:t>
      </w:r>
    </w:p>
    <w:p w14:paraId="2461EF23"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monitoring subsystem continuously collects operational metrics from deployed workloads and cloud infrastructure services. These metrics provide the foundation for migration decision-making and system optimization.</w:t>
      </w:r>
    </w:p>
    <w:p w14:paraId="5C1FD1B4"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monitoring layer collects information including:</w:t>
      </w:r>
    </w:p>
    <w:p w14:paraId="4BBCC4E0"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Resource utilization (CPU, memory, and network throughput)</w:t>
      </w:r>
    </w:p>
    <w:p w14:paraId="23D9A117"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Application latency and response time</w:t>
      </w:r>
    </w:p>
    <w:p w14:paraId="6F05AF6B"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Service availability and health status</w:t>
      </w:r>
    </w:p>
    <w:p w14:paraId="48278153"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Cloud provider pricing information</w:t>
      </w:r>
    </w:p>
    <w:p w14:paraId="2E9924E5"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Service Level Agreement (SLA) compliance indicators</w:t>
      </w:r>
    </w:p>
    <w:p w14:paraId="44293391"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These metrics are aggregated and forwarded to the Smart Decision Engine for analysis. Real-time monitoring enables the system to detect performance degradation, cost inefficiencies, or potential service disruptions that may justify workload relocation.</w:t>
      </w:r>
    </w:p>
    <w:p w14:paraId="7BAC1B5D"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Monitoring systems such as Prometheus, Grafana, AWS CloudWatch, or Azure Monitor can be integrated to provide telemetry and observability capabilities.</w:t>
      </w:r>
    </w:p>
    <w:p w14:paraId="14A2A8E3" w14:textId="77777777" w:rsidR="00703384" w:rsidRDefault="00703384" w:rsidP="00703384">
      <w:pPr>
        <w:spacing w:after="0"/>
        <w:jc w:val="both"/>
        <w:rPr>
          <w:rFonts w:ascii="Times New Roman" w:eastAsia="Times New Roman" w:hAnsi="Times New Roman" w:cs="Times New Roman"/>
          <w:b/>
          <w:bCs/>
          <w:color w:val="000000" w:themeColor="text1"/>
          <w:sz w:val="26"/>
          <w:szCs w:val="26"/>
        </w:rPr>
      </w:pPr>
      <w:r w:rsidRPr="332C9747">
        <w:rPr>
          <w:rFonts w:ascii="Times New Roman" w:eastAsia="Times New Roman" w:hAnsi="Times New Roman" w:cs="Times New Roman"/>
          <w:b/>
          <w:bCs/>
          <w:color w:val="000000" w:themeColor="text1"/>
          <w:sz w:val="26"/>
          <w:szCs w:val="26"/>
        </w:rPr>
        <w:t>Smart Decision Engine</w:t>
      </w:r>
    </w:p>
    <w:p w14:paraId="3F35C7BC"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Smart Decision Engine is responsible for determining whether workload migration should occur and identifying the most suitable target cloud environment.</w:t>
      </w:r>
    </w:p>
    <w:p w14:paraId="0D3C44C7"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engine evaluates multiple decision parameters including:</w:t>
      </w:r>
    </w:p>
    <w:p w14:paraId="10AA0418" w14:textId="77777777" w:rsidR="00F14704" w:rsidRDefault="00F14704" w:rsidP="00F14704">
      <w:pPr>
        <w:pStyle w:val="ListParagraph"/>
        <w:numPr>
          <w:ilvl w:val="0"/>
          <w:numId w:val="9"/>
        </w:numPr>
        <w:spacing w:before="240" w:after="240"/>
        <w:rPr>
          <w:rFonts w:ascii="Times New Roman" w:eastAsia="Times New Roman" w:hAnsi="Times New Roman" w:cs="Times New Roman"/>
          <w:color w:val="000000" w:themeColor="text1"/>
          <w:sz w:val="22"/>
          <w:szCs w:val="22"/>
          <w:lang w:val="en-IN"/>
        </w:rPr>
      </w:pPr>
      <w:r w:rsidRPr="00F14704">
        <w:rPr>
          <w:rFonts w:ascii="Times New Roman" w:eastAsia="Times New Roman" w:hAnsi="Times New Roman" w:cs="Times New Roman"/>
          <w:color w:val="000000" w:themeColor="text1"/>
          <w:sz w:val="22"/>
          <w:szCs w:val="22"/>
          <w:lang w:val="en-IN"/>
        </w:rPr>
        <w:t>Cloud service cos</w:t>
      </w:r>
      <w:r>
        <w:rPr>
          <w:rFonts w:ascii="Times New Roman" w:eastAsia="Times New Roman" w:hAnsi="Times New Roman" w:cs="Times New Roman"/>
          <w:color w:val="000000" w:themeColor="text1"/>
          <w:sz w:val="22"/>
          <w:szCs w:val="22"/>
          <w:lang w:val="en-IN"/>
        </w:rPr>
        <w:t>t</w:t>
      </w:r>
    </w:p>
    <w:p w14:paraId="7DFE884F" w14:textId="77777777" w:rsidR="00F14704" w:rsidRDefault="00F14704" w:rsidP="00F14704">
      <w:pPr>
        <w:pStyle w:val="ListParagraph"/>
        <w:numPr>
          <w:ilvl w:val="0"/>
          <w:numId w:val="9"/>
        </w:numPr>
        <w:spacing w:before="240" w:after="240"/>
        <w:rPr>
          <w:rFonts w:ascii="Times New Roman" w:eastAsia="Times New Roman" w:hAnsi="Times New Roman" w:cs="Times New Roman"/>
          <w:color w:val="000000" w:themeColor="text1"/>
          <w:sz w:val="22"/>
          <w:szCs w:val="22"/>
          <w:lang w:val="en-IN"/>
        </w:rPr>
      </w:pPr>
      <w:r w:rsidRPr="00F14704">
        <w:rPr>
          <w:rFonts w:ascii="Times New Roman" w:eastAsia="Times New Roman" w:hAnsi="Times New Roman" w:cs="Times New Roman"/>
          <w:color w:val="000000" w:themeColor="text1"/>
          <w:sz w:val="22"/>
          <w:szCs w:val="22"/>
          <w:lang w:val="en-IN"/>
        </w:rPr>
        <w:t>Network latency</w:t>
      </w:r>
    </w:p>
    <w:p w14:paraId="6B62E1F0" w14:textId="77777777" w:rsidR="00F14704" w:rsidRDefault="00F14704" w:rsidP="00F14704">
      <w:pPr>
        <w:pStyle w:val="ListParagraph"/>
        <w:numPr>
          <w:ilvl w:val="0"/>
          <w:numId w:val="9"/>
        </w:numPr>
        <w:spacing w:before="240" w:after="240"/>
        <w:rPr>
          <w:rFonts w:ascii="Times New Roman" w:eastAsia="Times New Roman" w:hAnsi="Times New Roman" w:cs="Times New Roman"/>
          <w:color w:val="000000" w:themeColor="text1"/>
          <w:sz w:val="22"/>
          <w:szCs w:val="22"/>
          <w:lang w:val="en-IN"/>
        </w:rPr>
      </w:pPr>
      <w:r w:rsidRPr="00F14704">
        <w:rPr>
          <w:rFonts w:ascii="Times New Roman" w:eastAsia="Times New Roman" w:hAnsi="Times New Roman" w:cs="Times New Roman"/>
          <w:color w:val="000000" w:themeColor="text1"/>
          <w:sz w:val="22"/>
          <w:szCs w:val="22"/>
          <w:lang w:val="en-IN"/>
        </w:rPr>
        <w:t>Resource availabilit</w:t>
      </w:r>
      <w:r>
        <w:rPr>
          <w:rFonts w:ascii="Times New Roman" w:eastAsia="Times New Roman" w:hAnsi="Times New Roman" w:cs="Times New Roman"/>
          <w:color w:val="000000" w:themeColor="text1"/>
          <w:sz w:val="22"/>
          <w:szCs w:val="22"/>
          <w:lang w:val="en-IN"/>
        </w:rPr>
        <w:t>y</w:t>
      </w:r>
    </w:p>
    <w:p w14:paraId="5CD276D7" w14:textId="77777777" w:rsidR="00F14704" w:rsidRDefault="00F14704" w:rsidP="00F14704">
      <w:pPr>
        <w:pStyle w:val="ListParagraph"/>
        <w:numPr>
          <w:ilvl w:val="0"/>
          <w:numId w:val="9"/>
        </w:numPr>
        <w:spacing w:before="240" w:after="240"/>
        <w:rPr>
          <w:rFonts w:ascii="Times New Roman" w:eastAsia="Times New Roman" w:hAnsi="Times New Roman" w:cs="Times New Roman"/>
          <w:color w:val="000000" w:themeColor="text1"/>
          <w:sz w:val="22"/>
          <w:szCs w:val="22"/>
          <w:lang w:val="en-IN"/>
        </w:rPr>
      </w:pPr>
      <w:r w:rsidRPr="00F14704">
        <w:rPr>
          <w:rFonts w:ascii="Times New Roman" w:eastAsia="Times New Roman" w:hAnsi="Times New Roman" w:cs="Times New Roman"/>
          <w:color w:val="000000" w:themeColor="text1"/>
          <w:sz w:val="22"/>
          <w:szCs w:val="22"/>
          <w:lang w:val="en-IN"/>
        </w:rPr>
        <w:t>Historical performance metrics</w:t>
      </w:r>
    </w:p>
    <w:p w14:paraId="01976955" w14:textId="77777777" w:rsidR="00F14704" w:rsidRDefault="00F14704" w:rsidP="00F14704">
      <w:pPr>
        <w:pStyle w:val="ListParagraph"/>
        <w:numPr>
          <w:ilvl w:val="0"/>
          <w:numId w:val="9"/>
        </w:numPr>
        <w:spacing w:before="240" w:after="240"/>
        <w:rPr>
          <w:rFonts w:ascii="Times New Roman" w:eastAsia="Times New Roman" w:hAnsi="Times New Roman" w:cs="Times New Roman"/>
          <w:color w:val="000000" w:themeColor="text1"/>
          <w:sz w:val="22"/>
          <w:szCs w:val="22"/>
          <w:lang w:val="en-IN"/>
        </w:rPr>
      </w:pPr>
      <w:r w:rsidRPr="00F14704">
        <w:rPr>
          <w:rFonts w:ascii="Times New Roman" w:eastAsia="Times New Roman" w:hAnsi="Times New Roman" w:cs="Times New Roman"/>
          <w:color w:val="000000" w:themeColor="text1"/>
          <w:sz w:val="22"/>
          <w:szCs w:val="22"/>
          <w:lang w:val="en-IN"/>
        </w:rPr>
        <w:t>Service Level Agreement (SLA) constraints</w:t>
      </w:r>
    </w:p>
    <w:p w14:paraId="6F6A9D01" w14:textId="5214C35B" w:rsidR="00F14704" w:rsidRPr="00F14704" w:rsidRDefault="00F14704" w:rsidP="00F14704">
      <w:pPr>
        <w:pStyle w:val="ListParagraph"/>
        <w:numPr>
          <w:ilvl w:val="0"/>
          <w:numId w:val="9"/>
        </w:numPr>
        <w:spacing w:before="240" w:after="240"/>
        <w:rPr>
          <w:rFonts w:ascii="Times New Roman" w:eastAsia="Times New Roman" w:hAnsi="Times New Roman" w:cs="Times New Roman"/>
          <w:color w:val="000000" w:themeColor="text1"/>
          <w:sz w:val="22"/>
          <w:szCs w:val="22"/>
          <w:lang w:val="en-IN"/>
        </w:rPr>
      </w:pPr>
      <w:r w:rsidRPr="00F14704">
        <w:rPr>
          <w:rFonts w:ascii="Times New Roman" w:eastAsia="Times New Roman" w:hAnsi="Times New Roman" w:cs="Times New Roman"/>
          <w:color w:val="000000" w:themeColor="text1"/>
          <w:sz w:val="22"/>
          <w:szCs w:val="22"/>
          <w:lang w:val="en-IN"/>
        </w:rPr>
        <w:t>User-defined policy preferences</w:t>
      </w:r>
    </w:p>
    <w:p w14:paraId="66D1D865"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A multi-criteria evaluation model is used to compute an optimal migration target. The decision process can be represented using a weighted scoring function:</w:t>
      </w:r>
    </w:p>
    <w:p w14:paraId="1B6777D4" w14:textId="77777777" w:rsidR="00703384" w:rsidRDefault="00703384" w:rsidP="00703384">
      <w:pPr>
        <w:spacing w:before="240" w:after="240"/>
        <w:jc w:val="both"/>
        <w:rPr>
          <w:rFonts w:ascii="Arial" w:eastAsia="Arial" w:hAnsi="Arial" w:cs="Arial"/>
          <w:b/>
          <w:bCs/>
          <w:i/>
          <w:iCs/>
          <w:color w:val="000000" w:themeColor="text1"/>
        </w:rPr>
      </w:pPr>
      <w:proofErr w:type="spellStart"/>
      <w:r w:rsidRPr="332C9747">
        <w:rPr>
          <w:rFonts w:ascii="Arial" w:eastAsia="Arial" w:hAnsi="Arial" w:cs="Arial"/>
          <w:b/>
          <w:bCs/>
          <w:i/>
          <w:iCs/>
          <w:color w:val="000000" w:themeColor="text1"/>
        </w:rPr>
        <w:t>Score_i</w:t>
      </w:r>
      <w:proofErr w:type="spellEnd"/>
      <w:r w:rsidRPr="332C9747">
        <w:rPr>
          <w:rFonts w:ascii="Arial" w:eastAsia="Arial" w:hAnsi="Arial" w:cs="Arial"/>
          <w:b/>
          <w:bCs/>
          <w:i/>
          <w:iCs/>
          <w:color w:val="000000" w:themeColor="text1"/>
        </w:rPr>
        <w:t xml:space="preserve"> = w_1 </w:t>
      </w:r>
      <w:proofErr w:type="spellStart"/>
      <w:r w:rsidRPr="332C9747">
        <w:rPr>
          <w:rFonts w:ascii="Arial" w:eastAsia="Arial" w:hAnsi="Arial" w:cs="Arial"/>
          <w:b/>
          <w:bCs/>
          <w:i/>
          <w:iCs/>
          <w:color w:val="000000" w:themeColor="text1"/>
        </w:rPr>
        <w:t>C_i</w:t>
      </w:r>
      <w:proofErr w:type="spellEnd"/>
      <w:r w:rsidRPr="332C9747">
        <w:rPr>
          <w:rFonts w:ascii="Arial" w:eastAsia="Arial" w:hAnsi="Arial" w:cs="Arial"/>
          <w:b/>
          <w:bCs/>
          <w:i/>
          <w:iCs/>
          <w:color w:val="000000" w:themeColor="text1"/>
        </w:rPr>
        <w:t xml:space="preserve"> + w_2 </w:t>
      </w:r>
      <w:proofErr w:type="spellStart"/>
      <w:r w:rsidRPr="332C9747">
        <w:rPr>
          <w:rFonts w:ascii="Arial" w:eastAsia="Arial" w:hAnsi="Arial" w:cs="Arial"/>
          <w:b/>
          <w:bCs/>
          <w:i/>
          <w:iCs/>
          <w:color w:val="000000" w:themeColor="text1"/>
        </w:rPr>
        <w:t>L_i</w:t>
      </w:r>
      <w:proofErr w:type="spellEnd"/>
      <w:r w:rsidRPr="332C9747">
        <w:rPr>
          <w:rFonts w:ascii="Arial" w:eastAsia="Arial" w:hAnsi="Arial" w:cs="Arial"/>
          <w:b/>
          <w:bCs/>
          <w:i/>
          <w:iCs/>
          <w:color w:val="000000" w:themeColor="text1"/>
        </w:rPr>
        <w:t xml:space="preserve"> + w_3 </w:t>
      </w:r>
      <w:proofErr w:type="spellStart"/>
      <w:r w:rsidRPr="332C9747">
        <w:rPr>
          <w:rFonts w:ascii="Arial" w:eastAsia="Arial" w:hAnsi="Arial" w:cs="Arial"/>
          <w:b/>
          <w:bCs/>
          <w:i/>
          <w:iCs/>
          <w:color w:val="000000" w:themeColor="text1"/>
        </w:rPr>
        <w:t>A_i</w:t>
      </w:r>
      <w:proofErr w:type="spellEnd"/>
      <w:r w:rsidRPr="332C9747">
        <w:rPr>
          <w:rFonts w:ascii="Arial" w:eastAsia="Arial" w:hAnsi="Arial" w:cs="Arial"/>
          <w:b/>
          <w:bCs/>
          <w:i/>
          <w:iCs/>
          <w:color w:val="000000" w:themeColor="text1"/>
        </w:rPr>
        <w:t xml:space="preserve"> + w_4 </w:t>
      </w:r>
      <w:proofErr w:type="spellStart"/>
      <w:r w:rsidRPr="332C9747">
        <w:rPr>
          <w:rFonts w:ascii="Arial" w:eastAsia="Arial" w:hAnsi="Arial" w:cs="Arial"/>
          <w:b/>
          <w:bCs/>
          <w:i/>
          <w:iCs/>
          <w:color w:val="000000" w:themeColor="text1"/>
        </w:rPr>
        <w:t>P_i</w:t>
      </w:r>
      <w:proofErr w:type="spellEnd"/>
    </w:p>
    <w:p w14:paraId="6B6CD163"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where:</w:t>
      </w:r>
    </w:p>
    <w:p w14:paraId="48A9A6D8"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 </w:t>
      </w:r>
      <w:proofErr w:type="spellStart"/>
      <w:r w:rsidRPr="332C9747">
        <w:rPr>
          <w:rFonts w:ascii="Times New Roman" w:eastAsia="Times New Roman" w:hAnsi="Times New Roman" w:cs="Times New Roman"/>
          <w:color w:val="000000" w:themeColor="text1"/>
          <w:sz w:val="22"/>
          <w:szCs w:val="22"/>
        </w:rPr>
        <w:t>C_i</w:t>
      </w:r>
      <w:proofErr w:type="spellEnd"/>
      <w:r w:rsidRPr="332C9747">
        <w:rPr>
          <w:rFonts w:ascii="Times New Roman" w:eastAsia="Times New Roman" w:hAnsi="Times New Roman" w:cs="Times New Roman"/>
          <w:color w:val="000000" w:themeColor="text1"/>
          <w:sz w:val="22"/>
          <w:szCs w:val="22"/>
        </w:rPr>
        <w:t xml:space="preserve"> represents the cost associated with cloud provider iii</w:t>
      </w:r>
      <w:r>
        <w:br/>
      </w:r>
      <w:r w:rsidRPr="332C9747">
        <w:rPr>
          <w:rFonts w:ascii="Times New Roman" w:eastAsia="Times New Roman" w:hAnsi="Times New Roman" w:cs="Times New Roman"/>
          <w:color w:val="000000" w:themeColor="text1"/>
          <w:sz w:val="22"/>
          <w:szCs w:val="22"/>
        </w:rPr>
        <w:t xml:space="preserve"> • </w:t>
      </w:r>
      <w:proofErr w:type="spellStart"/>
      <w:r w:rsidRPr="332C9747">
        <w:rPr>
          <w:rFonts w:ascii="Times New Roman" w:eastAsia="Times New Roman" w:hAnsi="Times New Roman" w:cs="Times New Roman"/>
          <w:color w:val="000000" w:themeColor="text1"/>
          <w:sz w:val="22"/>
          <w:szCs w:val="22"/>
        </w:rPr>
        <w:t>L_i</w:t>
      </w:r>
      <w:proofErr w:type="spellEnd"/>
      <w:r w:rsidRPr="332C9747">
        <w:rPr>
          <w:rFonts w:ascii="Times New Roman" w:eastAsia="Times New Roman" w:hAnsi="Times New Roman" w:cs="Times New Roman"/>
          <w:color w:val="000000" w:themeColor="text1"/>
          <w:sz w:val="22"/>
          <w:szCs w:val="22"/>
        </w:rPr>
        <w:t xml:space="preserve"> represents the network latency</w:t>
      </w:r>
      <w:r>
        <w:br/>
      </w:r>
      <w:r w:rsidRPr="332C9747">
        <w:rPr>
          <w:rFonts w:ascii="Times New Roman" w:eastAsia="Times New Roman" w:hAnsi="Times New Roman" w:cs="Times New Roman"/>
          <w:color w:val="000000" w:themeColor="text1"/>
          <w:sz w:val="22"/>
          <w:szCs w:val="22"/>
        </w:rPr>
        <w:t xml:space="preserve"> • </w:t>
      </w:r>
      <w:proofErr w:type="spellStart"/>
      <w:r w:rsidRPr="332C9747">
        <w:rPr>
          <w:rFonts w:ascii="Times New Roman" w:eastAsia="Times New Roman" w:hAnsi="Times New Roman" w:cs="Times New Roman"/>
          <w:color w:val="000000" w:themeColor="text1"/>
          <w:sz w:val="22"/>
          <w:szCs w:val="22"/>
        </w:rPr>
        <w:t>A_i</w:t>
      </w:r>
      <w:proofErr w:type="spellEnd"/>
      <w:r w:rsidRPr="332C9747">
        <w:rPr>
          <w:rFonts w:ascii="Times New Roman" w:eastAsia="Times New Roman" w:hAnsi="Times New Roman" w:cs="Times New Roman"/>
          <w:color w:val="000000" w:themeColor="text1"/>
          <w:sz w:val="22"/>
          <w:szCs w:val="22"/>
        </w:rPr>
        <w:t xml:space="preserve"> represents the availability level</w:t>
      </w:r>
      <w:r>
        <w:br/>
      </w:r>
      <w:r w:rsidRPr="332C9747">
        <w:rPr>
          <w:rFonts w:ascii="Times New Roman" w:eastAsia="Times New Roman" w:hAnsi="Times New Roman" w:cs="Times New Roman"/>
          <w:color w:val="000000" w:themeColor="text1"/>
          <w:sz w:val="22"/>
          <w:szCs w:val="22"/>
        </w:rPr>
        <w:t xml:space="preserve"> • </w:t>
      </w:r>
      <w:proofErr w:type="spellStart"/>
      <w:r w:rsidRPr="332C9747">
        <w:rPr>
          <w:rFonts w:ascii="Times New Roman" w:eastAsia="Times New Roman" w:hAnsi="Times New Roman" w:cs="Times New Roman"/>
          <w:color w:val="000000" w:themeColor="text1"/>
          <w:sz w:val="22"/>
          <w:szCs w:val="22"/>
        </w:rPr>
        <w:t>P_i</w:t>
      </w:r>
      <w:proofErr w:type="spellEnd"/>
      <w:r w:rsidRPr="332C9747">
        <w:rPr>
          <w:rFonts w:ascii="Times New Roman" w:eastAsia="Times New Roman" w:hAnsi="Times New Roman" w:cs="Times New Roman"/>
          <w:color w:val="000000" w:themeColor="text1"/>
          <w:sz w:val="22"/>
          <w:szCs w:val="22"/>
        </w:rPr>
        <w:t xml:space="preserve"> represents policy or compliance constraints</w:t>
      </w:r>
      <w:r>
        <w:br/>
      </w:r>
      <w:r w:rsidRPr="332C9747">
        <w:rPr>
          <w:rFonts w:ascii="Times New Roman" w:eastAsia="Times New Roman" w:hAnsi="Times New Roman" w:cs="Times New Roman"/>
          <w:color w:val="000000" w:themeColor="text1"/>
          <w:sz w:val="22"/>
          <w:szCs w:val="22"/>
        </w:rPr>
        <w:t xml:space="preserve"> • w_1, w_2, w_3, w_4 are the relative weights assigned to each parameter</w:t>
      </w:r>
    </w:p>
    <w:p w14:paraId="2F728B41"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cloud environment with the optimal score is selected as the migration destination.</w:t>
      </w:r>
    </w:p>
    <w:p w14:paraId="58550DD6" w14:textId="77777777" w:rsidR="00703384" w:rsidRDefault="00703384" w:rsidP="00703384">
      <w:pPr>
        <w:spacing w:before="240" w:after="240"/>
        <w:jc w:val="both"/>
        <w:rPr>
          <w:rFonts w:ascii="Times New Roman" w:eastAsia="Times New Roman" w:hAnsi="Times New Roman" w:cs="Times New Roman"/>
          <w:b/>
          <w:bCs/>
          <w:color w:val="000000" w:themeColor="text1"/>
        </w:rPr>
      </w:pPr>
      <w:r w:rsidRPr="332C9747">
        <w:rPr>
          <w:rFonts w:ascii="Times New Roman" w:eastAsia="Times New Roman" w:hAnsi="Times New Roman" w:cs="Times New Roman"/>
          <w:b/>
          <w:bCs/>
          <w:color w:val="000000" w:themeColor="text1"/>
          <w:sz w:val="28"/>
          <w:szCs w:val="28"/>
        </w:rPr>
        <w:t>3.2.3 MIGRATION ORCHESTRATION LAYER</w:t>
      </w:r>
    </w:p>
    <w:p w14:paraId="5200A0AF" w14:textId="77777777" w:rsidR="00703384" w:rsidRDefault="00703384" w:rsidP="00703384">
      <w:pPr>
        <w:keepLines/>
        <w:widowControl w:val="0"/>
        <w:spacing w:after="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The </w:t>
      </w:r>
      <w:r w:rsidRPr="332C9747">
        <w:rPr>
          <w:rFonts w:ascii="Times New Roman" w:eastAsia="Times New Roman" w:hAnsi="Times New Roman" w:cs="Times New Roman"/>
          <w:b/>
          <w:bCs/>
          <w:color w:val="000000" w:themeColor="text1"/>
          <w:sz w:val="22"/>
          <w:szCs w:val="22"/>
        </w:rPr>
        <w:t>Migration Orchestration Layer</w:t>
      </w:r>
      <w:r w:rsidRPr="332C9747">
        <w:rPr>
          <w:rFonts w:ascii="Times New Roman" w:eastAsia="Times New Roman" w:hAnsi="Times New Roman" w:cs="Times New Roman"/>
          <w:color w:val="000000" w:themeColor="text1"/>
          <w:sz w:val="22"/>
          <w:szCs w:val="22"/>
        </w:rPr>
        <w:t xml:space="preserve"> manages the operational aspects of workload relocation. It includes components responsible for containerization of legacy applications, storage of container images in a registry, and deployment of workloads on target cloud clusters.</w:t>
      </w:r>
    </w:p>
    <w:p w14:paraId="7D214086" w14:textId="77777777" w:rsidR="00703384" w:rsidRDefault="00703384" w:rsidP="00703384">
      <w:pPr>
        <w:keepLines/>
        <w:widowControl w:val="0"/>
        <w:spacing w:after="0"/>
        <w:jc w:val="both"/>
        <w:rPr>
          <w:rFonts w:ascii="Times New Roman" w:eastAsia="Times New Roman" w:hAnsi="Times New Roman" w:cs="Times New Roman"/>
          <w:color w:val="000000" w:themeColor="text1"/>
          <w:sz w:val="22"/>
          <w:szCs w:val="22"/>
        </w:rPr>
      </w:pPr>
    </w:p>
    <w:p w14:paraId="7FB5448B" w14:textId="77777777" w:rsidR="00703384" w:rsidRDefault="00703384" w:rsidP="00703384">
      <w:pPr>
        <w:spacing w:after="0"/>
        <w:jc w:val="both"/>
      </w:pPr>
      <w:r w:rsidRPr="332C9747">
        <w:rPr>
          <w:rFonts w:ascii="Times New Roman" w:eastAsia="Times New Roman" w:hAnsi="Times New Roman" w:cs="Times New Roman"/>
          <w:b/>
          <w:bCs/>
          <w:color w:val="000000" w:themeColor="text1"/>
          <w:sz w:val="26"/>
          <w:szCs w:val="26"/>
        </w:rPr>
        <w:t>Containerisation adapter</w:t>
      </w:r>
    </w:p>
    <w:p w14:paraId="6813900A"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lastRenderedPageBreak/>
        <w:t>The orchestrator performs several tasks including:</w:t>
      </w:r>
    </w:p>
    <w:p w14:paraId="5189C019"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Deploying container images on the target cloud cluster</w:t>
      </w:r>
      <w:r>
        <w:br/>
      </w:r>
      <w:r w:rsidRPr="332C9747">
        <w:rPr>
          <w:rFonts w:ascii="Times New Roman" w:eastAsia="Times New Roman" w:hAnsi="Times New Roman" w:cs="Times New Roman"/>
          <w:color w:val="000000" w:themeColor="text1"/>
          <w:sz w:val="22"/>
          <w:szCs w:val="22"/>
        </w:rPr>
        <w:t xml:space="preserve"> • Configuring networking and service endpoints</w:t>
      </w:r>
      <w:r>
        <w:br/>
      </w:r>
      <w:r w:rsidRPr="332C9747">
        <w:rPr>
          <w:rFonts w:ascii="Times New Roman" w:eastAsia="Times New Roman" w:hAnsi="Times New Roman" w:cs="Times New Roman"/>
          <w:color w:val="000000" w:themeColor="text1"/>
          <w:sz w:val="22"/>
          <w:szCs w:val="22"/>
        </w:rPr>
        <w:t xml:space="preserve"> • Performing health checks on newly deployed instances</w:t>
      </w:r>
      <w:r>
        <w:br/>
      </w:r>
      <w:r w:rsidRPr="332C9747">
        <w:rPr>
          <w:rFonts w:ascii="Times New Roman" w:eastAsia="Times New Roman" w:hAnsi="Times New Roman" w:cs="Times New Roman"/>
          <w:color w:val="000000" w:themeColor="text1"/>
          <w:sz w:val="22"/>
          <w:szCs w:val="22"/>
        </w:rPr>
        <w:t xml:space="preserve"> • Coordinating gradual traffic transition</w:t>
      </w:r>
      <w:r>
        <w:br/>
      </w:r>
      <w:r w:rsidRPr="332C9747">
        <w:rPr>
          <w:rFonts w:ascii="Times New Roman" w:eastAsia="Times New Roman" w:hAnsi="Times New Roman" w:cs="Times New Roman"/>
          <w:color w:val="000000" w:themeColor="text1"/>
          <w:sz w:val="22"/>
          <w:szCs w:val="22"/>
        </w:rPr>
        <w:t xml:space="preserve"> • Managing rollback operations in case of migration failure</w:t>
      </w:r>
    </w:p>
    <w:p w14:paraId="2C9B7193"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Container orchestration frameworks such as Kubernetes, together with deployment tools such as Helm, Terraform, or </w:t>
      </w:r>
      <w:proofErr w:type="spellStart"/>
      <w:r w:rsidRPr="332C9747">
        <w:rPr>
          <w:rFonts w:ascii="Times New Roman" w:eastAsia="Times New Roman" w:hAnsi="Times New Roman" w:cs="Times New Roman"/>
          <w:color w:val="000000" w:themeColor="text1"/>
          <w:sz w:val="22"/>
          <w:szCs w:val="22"/>
        </w:rPr>
        <w:t>ArgoCD</w:t>
      </w:r>
      <w:proofErr w:type="spellEnd"/>
      <w:r w:rsidRPr="332C9747">
        <w:rPr>
          <w:rFonts w:ascii="Times New Roman" w:eastAsia="Times New Roman" w:hAnsi="Times New Roman" w:cs="Times New Roman"/>
          <w:color w:val="000000" w:themeColor="text1"/>
          <w:sz w:val="22"/>
          <w:szCs w:val="22"/>
        </w:rPr>
        <w:t>, can be used to automate the migration workflow.</w:t>
      </w:r>
    </w:p>
    <w:p w14:paraId="6260DCDB" w14:textId="77777777" w:rsidR="00703384" w:rsidRDefault="00703384" w:rsidP="00703384">
      <w:pPr>
        <w:spacing w:after="0"/>
        <w:jc w:val="both"/>
      </w:pPr>
      <w:r w:rsidRPr="332C9747">
        <w:rPr>
          <w:rFonts w:ascii="Times New Roman" w:eastAsia="Times New Roman" w:hAnsi="Times New Roman" w:cs="Times New Roman"/>
          <w:b/>
          <w:bCs/>
          <w:color w:val="000000" w:themeColor="text1"/>
          <w:sz w:val="26"/>
          <w:szCs w:val="26"/>
        </w:rPr>
        <w:t>Container Registry</w:t>
      </w:r>
    </w:p>
    <w:p w14:paraId="3905B033"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container registry acts as a centralized repository for storing container images used during migration. Once an application is containerized, its image is uploaded to the registry where it can be retrieved by multiple cloud environments.</w:t>
      </w:r>
    </w:p>
    <w:p w14:paraId="2A456AEC"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Common implementations include:</w:t>
      </w:r>
    </w:p>
    <w:p w14:paraId="6345310A" w14:textId="77777777" w:rsidR="00F14704" w:rsidRPr="00F14704" w:rsidRDefault="00703384" w:rsidP="00F14704">
      <w:pPr>
        <w:pStyle w:val="ListParagraph"/>
        <w:numPr>
          <w:ilvl w:val="0"/>
          <w:numId w:val="10"/>
        </w:numPr>
        <w:spacing w:before="240" w:after="240"/>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Docker Hub</w:t>
      </w:r>
    </w:p>
    <w:p w14:paraId="6C67F773" w14:textId="77777777" w:rsidR="00F14704" w:rsidRDefault="00703384" w:rsidP="00F14704">
      <w:pPr>
        <w:pStyle w:val="ListParagraph"/>
        <w:numPr>
          <w:ilvl w:val="0"/>
          <w:numId w:val="10"/>
        </w:numPr>
        <w:spacing w:before="240" w:after="240"/>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 xml:space="preserve">Amazon Elastic Container Registry (ECR) </w:t>
      </w:r>
    </w:p>
    <w:p w14:paraId="3EC309C1" w14:textId="5B5A0388" w:rsidR="00F14704" w:rsidRPr="00F14704" w:rsidRDefault="00703384" w:rsidP="00F14704">
      <w:pPr>
        <w:pStyle w:val="ListParagraph"/>
        <w:numPr>
          <w:ilvl w:val="0"/>
          <w:numId w:val="10"/>
        </w:numPr>
        <w:spacing w:before="240" w:after="240"/>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Google Artifact Registry</w:t>
      </w:r>
    </w:p>
    <w:p w14:paraId="4423A3C5" w14:textId="4F064648" w:rsidR="00703384" w:rsidRPr="00F14704" w:rsidRDefault="00703384" w:rsidP="00F14704">
      <w:pPr>
        <w:pStyle w:val="ListParagraph"/>
        <w:numPr>
          <w:ilvl w:val="0"/>
          <w:numId w:val="10"/>
        </w:numPr>
        <w:spacing w:before="240" w:after="240"/>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Azure Container Registry</w:t>
      </w:r>
    </w:p>
    <w:p w14:paraId="264E93B6"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Using standardized OCI container image formats </w:t>
      </w:r>
      <w:proofErr w:type="gramStart"/>
      <w:r w:rsidRPr="332C9747">
        <w:rPr>
          <w:rFonts w:ascii="Times New Roman" w:eastAsia="Times New Roman" w:hAnsi="Times New Roman" w:cs="Times New Roman"/>
          <w:color w:val="000000" w:themeColor="text1"/>
          <w:sz w:val="22"/>
          <w:szCs w:val="22"/>
        </w:rPr>
        <w:t>ensures</w:t>
      </w:r>
      <w:proofErr w:type="gramEnd"/>
      <w:r w:rsidRPr="332C9747">
        <w:rPr>
          <w:rFonts w:ascii="Times New Roman" w:eastAsia="Times New Roman" w:hAnsi="Times New Roman" w:cs="Times New Roman"/>
          <w:color w:val="000000" w:themeColor="text1"/>
          <w:sz w:val="22"/>
          <w:szCs w:val="22"/>
        </w:rPr>
        <w:t xml:space="preserve"> interoperability across cloud platforms.</w:t>
      </w:r>
    </w:p>
    <w:p w14:paraId="2F856A1C" w14:textId="77777777" w:rsidR="00703384" w:rsidRDefault="00703384" w:rsidP="00703384">
      <w:pPr>
        <w:spacing w:after="0"/>
        <w:jc w:val="both"/>
      </w:pPr>
      <w:r w:rsidRPr="332C9747">
        <w:rPr>
          <w:rFonts w:ascii="Times New Roman" w:eastAsia="Times New Roman" w:hAnsi="Times New Roman" w:cs="Times New Roman"/>
          <w:b/>
          <w:bCs/>
          <w:color w:val="000000" w:themeColor="text1"/>
          <w:sz w:val="26"/>
          <w:szCs w:val="26"/>
        </w:rPr>
        <w:t>Migration Orchestrator</w:t>
      </w:r>
    </w:p>
    <w:p w14:paraId="2C448878"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Migration Orchestrator coordinates the execution of workload relocation across cloud environments. It acts as the operational controller that translates migration decisions into deployment actions.</w:t>
      </w:r>
    </w:p>
    <w:p w14:paraId="5C342455"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orchestrator performs several tasks including:</w:t>
      </w:r>
    </w:p>
    <w:p w14:paraId="5762A852"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Deploying container images on the target cloud cluster</w:t>
      </w:r>
      <w:r>
        <w:br/>
      </w:r>
      <w:r w:rsidRPr="332C9747">
        <w:rPr>
          <w:rFonts w:ascii="Times New Roman" w:eastAsia="Times New Roman" w:hAnsi="Times New Roman" w:cs="Times New Roman"/>
          <w:color w:val="000000" w:themeColor="text1"/>
          <w:sz w:val="22"/>
          <w:szCs w:val="22"/>
        </w:rPr>
        <w:t xml:space="preserve"> • Configuring networking and service endpoints</w:t>
      </w:r>
      <w:r>
        <w:br/>
      </w:r>
      <w:r w:rsidRPr="332C9747">
        <w:rPr>
          <w:rFonts w:ascii="Times New Roman" w:eastAsia="Times New Roman" w:hAnsi="Times New Roman" w:cs="Times New Roman"/>
          <w:color w:val="000000" w:themeColor="text1"/>
          <w:sz w:val="22"/>
          <w:szCs w:val="22"/>
        </w:rPr>
        <w:t xml:space="preserve"> • Performing health checks on newly deployed instances</w:t>
      </w:r>
      <w:r>
        <w:br/>
      </w:r>
      <w:r w:rsidRPr="332C9747">
        <w:rPr>
          <w:rFonts w:ascii="Times New Roman" w:eastAsia="Times New Roman" w:hAnsi="Times New Roman" w:cs="Times New Roman"/>
          <w:color w:val="000000" w:themeColor="text1"/>
          <w:sz w:val="22"/>
          <w:szCs w:val="22"/>
        </w:rPr>
        <w:t xml:space="preserve"> • Coordinating gradual traffic transition</w:t>
      </w:r>
      <w:r>
        <w:br/>
      </w:r>
      <w:r w:rsidRPr="332C9747">
        <w:rPr>
          <w:rFonts w:ascii="Times New Roman" w:eastAsia="Times New Roman" w:hAnsi="Times New Roman" w:cs="Times New Roman"/>
          <w:color w:val="000000" w:themeColor="text1"/>
          <w:sz w:val="22"/>
          <w:szCs w:val="22"/>
        </w:rPr>
        <w:t xml:space="preserve"> • Managing rollback operations in case of migration failure</w:t>
      </w:r>
    </w:p>
    <w:p w14:paraId="7EE02AA7"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Container orchestration frameworks such as Kubernetes, together with deployment tools such as Helm, Terraform, or </w:t>
      </w:r>
      <w:proofErr w:type="spellStart"/>
      <w:r w:rsidRPr="332C9747">
        <w:rPr>
          <w:rFonts w:ascii="Times New Roman" w:eastAsia="Times New Roman" w:hAnsi="Times New Roman" w:cs="Times New Roman"/>
          <w:color w:val="000000" w:themeColor="text1"/>
          <w:sz w:val="22"/>
          <w:szCs w:val="22"/>
        </w:rPr>
        <w:t>ArgoCD</w:t>
      </w:r>
      <w:proofErr w:type="spellEnd"/>
      <w:r w:rsidRPr="332C9747">
        <w:rPr>
          <w:rFonts w:ascii="Times New Roman" w:eastAsia="Times New Roman" w:hAnsi="Times New Roman" w:cs="Times New Roman"/>
          <w:color w:val="000000" w:themeColor="text1"/>
          <w:sz w:val="22"/>
          <w:szCs w:val="22"/>
        </w:rPr>
        <w:t>, can be used to automate the migration workflow.</w:t>
      </w:r>
    </w:p>
    <w:p w14:paraId="78D132D7" w14:textId="77777777" w:rsidR="00703384" w:rsidRDefault="00703384" w:rsidP="00703384">
      <w:pPr>
        <w:spacing w:before="240" w:after="240"/>
        <w:jc w:val="both"/>
        <w:rPr>
          <w:rFonts w:ascii="Times New Roman" w:eastAsia="Times New Roman" w:hAnsi="Times New Roman" w:cs="Times New Roman"/>
          <w:b/>
          <w:bCs/>
          <w:color w:val="000000" w:themeColor="text1"/>
          <w:sz w:val="28"/>
          <w:szCs w:val="28"/>
        </w:rPr>
      </w:pPr>
      <w:r w:rsidRPr="332C9747">
        <w:rPr>
          <w:rFonts w:ascii="Times New Roman" w:eastAsia="Times New Roman" w:hAnsi="Times New Roman" w:cs="Times New Roman"/>
          <w:b/>
          <w:bCs/>
          <w:color w:val="000000" w:themeColor="text1"/>
          <w:sz w:val="28"/>
          <w:szCs w:val="28"/>
        </w:rPr>
        <w:t>3.2.4 MULTI-CLOUD INFRASTRUCTURE</w:t>
      </w:r>
    </w:p>
    <w:p w14:paraId="518DFAC8" w14:textId="47D38B42" w:rsidR="00F14704" w:rsidRPr="00F14704" w:rsidRDefault="00F14704" w:rsidP="00703384">
      <w:pPr>
        <w:spacing w:before="240" w:after="240"/>
        <w:jc w:val="both"/>
        <w:rPr>
          <w:rFonts w:ascii="Times New Roman" w:eastAsia="Times New Roman" w:hAnsi="Times New Roman" w:cs="Times New Roman"/>
          <w:color w:val="000000" w:themeColor="text1"/>
          <w:sz w:val="22"/>
          <w:szCs w:val="22"/>
        </w:rPr>
      </w:pPr>
      <w:r w:rsidRPr="60F17AD0">
        <w:rPr>
          <w:rFonts w:ascii="Times New Roman" w:eastAsia="Times New Roman" w:hAnsi="Times New Roman" w:cs="Times New Roman"/>
          <w:color w:val="000000" w:themeColor="text1"/>
          <w:sz w:val="22"/>
          <w:szCs w:val="22"/>
        </w:rPr>
        <w:t xml:space="preserve">Finally, the </w:t>
      </w:r>
      <w:r w:rsidRPr="60F17AD0">
        <w:rPr>
          <w:rFonts w:ascii="Times New Roman" w:eastAsia="Times New Roman" w:hAnsi="Times New Roman" w:cs="Times New Roman"/>
          <w:b/>
          <w:bCs/>
          <w:color w:val="000000" w:themeColor="text1"/>
          <w:sz w:val="22"/>
          <w:szCs w:val="22"/>
        </w:rPr>
        <w:t>Multi-Cloud Infrastructure Layer</w:t>
      </w:r>
      <w:r w:rsidRPr="60F17AD0">
        <w:rPr>
          <w:rFonts w:ascii="Times New Roman" w:eastAsia="Times New Roman" w:hAnsi="Times New Roman" w:cs="Times New Roman"/>
          <w:color w:val="000000" w:themeColor="text1"/>
          <w:sz w:val="22"/>
          <w:szCs w:val="22"/>
        </w:rPr>
        <w:t xml:space="preserve"> represents the execution environment where containerized applications run on managed Kubernetes clusters across multiple cloud providers such as AWS, Azure, and Google Cloud.</w:t>
      </w:r>
    </w:p>
    <w:p w14:paraId="0C984AC9" w14:textId="77777777" w:rsidR="00703384" w:rsidRDefault="00703384" w:rsidP="00703384">
      <w:pPr>
        <w:spacing w:after="0"/>
        <w:jc w:val="both"/>
      </w:pPr>
      <w:r w:rsidRPr="332C9747">
        <w:rPr>
          <w:rFonts w:ascii="Times New Roman" w:eastAsia="Times New Roman" w:hAnsi="Times New Roman" w:cs="Times New Roman"/>
          <w:b/>
          <w:bCs/>
          <w:color w:val="000000" w:themeColor="text1"/>
          <w:sz w:val="26"/>
          <w:szCs w:val="26"/>
        </w:rPr>
        <w:t>Multi-cloud execution environments</w:t>
      </w:r>
    </w:p>
    <w:p w14:paraId="4979AB0E"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system supports deployment across multiple public cloud providers including:</w:t>
      </w:r>
    </w:p>
    <w:p w14:paraId="08FABCD7" w14:textId="77777777" w:rsidR="00F14704" w:rsidRPr="00F14704" w:rsidRDefault="00703384" w:rsidP="00F14704">
      <w:pPr>
        <w:pStyle w:val="ListParagraph"/>
        <w:numPr>
          <w:ilvl w:val="0"/>
          <w:numId w:val="11"/>
        </w:numPr>
        <w:spacing w:before="240" w:after="240"/>
        <w:jc w:val="both"/>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Amazon Web Services (AWS)</w:t>
      </w:r>
    </w:p>
    <w:p w14:paraId="15B46E3E" w14:textId="77777777" w:rsidR="00F14704" w:rsidRPr="00F14704" w:rsidRDefault="00703384" w:rsidP="00F14704">
      <w:pPr>
        <w:pStyle w:val="ListParagraph"/>
        <w:numPr>
          <w:ilvl w:val="0"/>
          <w:numId w:val="11"/>
        </w:numPr>
        <w:spacing w:before="240" w:after="240"/>
        <w:jc w:val="both"/>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Microsoft Azure</w:t>
      </w:r>
    </w:p>
    <w:p w14:paraId="5BA40E1A" w14:textId="331A5ED2" w:rsidR="00703384" w:rsidRPr="00F14704" w:rsidRDefault="00703384" w:rsidP="00F14704">
      <w:pPr>
        <w:pStyle w:val="ListParagraph"/>
        <w:numPr>
          <w:ilvl w:val="0"/>
          <w:numId w:val="11"/>
        </w:numPr>
        <w:spacing w:before="240" w:after="240"/>
        <w:jc w:val="both"/>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Google Cloud Platform (GCP)</w:t>
      </w:r>
    </w:p>
    <w:p w14:paraId="3FBDE95E" w14:textId="77777777"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Each cloud environment hosts containerized workloads using managed container orchestration services such as:</w:t>
      </w:r>
    </w:p>
    <w:p w14:paraId="2DBFF535" w14:textId="77777777" w:rsidR="00F14704" w:rsidRPr="00F14704" w:rsidRDefault="00703384" w:rsidP="00F14704">
      <w:pPr>
        <w:pStyle w:val="ListParagraph"/>
        <w:numPr>
          <w:ilvl w:val="0"/>
          <w:numId w:val="12"/>
        </w:numPr>
        <w:spacing w:before="240" w:after="240"/>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Amazon Elastic Kubernetes Service (EKS)</w:t>
      </w:r>
    </w:p>
    <w:p w14:paraId="64F767A9" w14:textId="77777777" w:rsidR="00F14704" w:rsidRDefault="00703384" w:rsidP="00F14704">
      <w:pPr>
        <w:pStyle w:val="ListParagraph"/>
        <w:numPr>
          <w:ilvl w:val="0"/>
          <w:numId w:val="12"/>
        </w:numPr>
        <w:spacing w:before="240" w:after="240"/>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Azure Kubernetes Service (AKS</w:t>
      </w:r>
      <w:r w:rsidR="00F14704">
        <w:rPr>
          <w:rFonts w:ascii="Times New Roman" w:eastAsia="Times New Roman" w:hAnsi="Times New Roman" w:cs="Times New Roman"/>
          <w:color w:val="000000" w:themeColor="text1"/>
          <w:sz w:val="22"/>
          <w:szCs w:val="22"/>
        </w:rPr>
        <w:t>)</w:t>
      </w:r>
    </w:p>
    <w:p w14:paraId="73AE8087" w14:textId="5BFBC668" w:rsidR="00703384" w:rsidRPr="00F14704" w:rsidRDefault="00703384" w:rsidP="00F14704">
      <w:pPr>
        <w:pStyle w:val="ListParagraph"/>
        <w:numPr>
          <w:ilvl w:val="0"/>
          <w:numId w:val="12"/>
        </w:numPr>
        <w:spacing w:before="240" w:after="240"/>
        <w:rPr>
          <w:rFonts w:ascii="Times New Roman" w:eastAsia="Times New Roman" w:hAnsi="Times New Roman" w:cs="Times New Roman"/>
          <w:color w:val="000000" w:themeColor="text1"/>
          <w:sz w:val="22"/>
          <w:szCs w:val="22"/>
        </w:rPr>
      </w:pPr>
      <w:r w:rsidRPr="00F14704">
        <w:rPr>
          <w:rFonts w:ascii="Times New Roman" w:eastAsia="Times New Roman" w:hAnsi="Times New Roman" w:cs="Times New Roman"/>
          <w:color w:val="000000" w:themeColor="text1"/>
          <w:sz w:val="22"/>
          <w:szCs w:val="22"/>
        </w:rPr>
        <w:t>Google Kubernetes Engine (GKE)</w:t>
      </w:r>
    </w:p>
    <w:p w14:paraId="0885C2E4" w14:textId="07DB2C2F" w:rsidR="00703384" w:rsidRDefault="00703384" w:rsidP="00703384">
      <w:p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 xml:space="preserve">Using Kubernetes as the underlying execution environment ensures consistent deployment </w:t>
      </w:r>
      <w:r w:rsidR="003511D7" w:rsidRPr="332C9747">
        <w:rPr>
          <w:rFonts w:ascii="Times New Roman" w:eastAsia="Times New Roman" w:hAnsi="Times New Roman" w:cs="Times New Roman"/>
          <w:color w:val="000000" w:themeColor="text1"/>
          <w:sz w:val="22"/>
          <w:szCs w:val="22"/>
        </w:rPr>
        <w:lastRenderedPageBreak/>
        <w:t>behaviour</w:t>
      </w:r>
      <w:r w:rsidRPr="332C9747">
        <w:rPr>
          <w:rFonts w:ascii="Times New Roman" w:eastAsia="Times New Roman" w:hAnsi="Times New Roman" w:cs="Times New Roman"/>
          <w:color w:val="000000" w:themeColor="text1"/>
          <w:sz w:val="22"/>
          <w:szCs w:val="22"/>
        </w:rPr>
        <w:t xml:space="preserve"> across cloud providers and simplifies workload portability.</w:t>
      </w:r>
    </w:p>
    <w:p w14:paraId="0E926472" w14:textId="77777777" w:rsidR="00703384" w:rsidRDefault="00703384" w:rsidP="00703384">
      <w:pPr>
        <w:spacing w:after="0"/>
        <w:jc w:val="both"/>
        <w:rPr>
          <w:rFonts w:ascii="Times New Roman" w:eastAsia="Times New Roman" w:hAnsi="Times New Roman" w:cs="Times New Roman"/>
          <w:b/>
          <w:bCs/>
          <w:color w:val="000000" w:themeColor="text1"/>
          <w:sz w:val="26"/>
          <w:szCs w:val="26"/>
        </w:rPr>
      </w:pPr>
      <w:r w:rsidRPr="332C9747">
        <w:rPr>
          <w:rFonts w:ascii="Times New Roman" w:eastAsia="Times New Roman" w:hAnsi="Times New Roman" w:cs="Times New Roman"/>
          <w:b/>
          <w:bCs/>
          <w:color w:val="000000" w:themeColor="text1"/>
          <w:sz w:val="26"/>
          <w:szCs w:val="26"/>
        </w:rPr>
        <w:t>Migration Workflow</w:t>
      </w:r>
    </w:p>
    <w:p w14:paraId="1CFD5E1D" w14:textId="77777777" w:rsidR="00F14704" w:rsidRDefault="00F14704" w:rsidP="00703384">
      <w:pPr>
        <w:spacing w:after="0"/>
        <w:jc w:val="both"/>
        <w:sectPr w:rsidR="00F14704" w:rsidSect="00CC7876">
          <w:type w:val="continuous"/>
          <w:pgSz w:w="11906" w:h="16838"/>
          <w:pgMar w:top="1440" w:right="1440" w:bottom="1440" w:left="1440" w:header="720" w:footer="720" w:gutter="0"/>
          <w:cols w:num="2" w:space="720"/>
          <w:docGrid w:linePitch="360"/>
        </w:sectPr>
      </w:pPr>
    </w:p>
    <w:p w14:paraId="0FBCEB7B" w14:textId="77777777" w:rsidR="00F14704" w:rsidRDefault="00703384" w:rsidP="00F14704">
      <w:pPr>
        <w:keepNext/>
        <w:spacing w:after="0"/>
        <w:jc w:val="both"/>
      </w:pPr>
      <w:r>
        <w:rPr>
          <w:noProof/>
        </w:rPr>
        <w:drawing>
          <wp:inline distT="0" distB="0" distL="0" distR="0" wp14:anchorId="703F21BD" wp14:editId="0FA75265">
            <wp:extent cx="5627077" cy="3648861"/>
            <wp:effectExtent l="0" t="0" r="0" b="8890"/>
            <wp:docPr id="1720883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83636" name="Picture 17208836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27077" cy="3648861"/>
                    </a:xfrm>
                    <a:prstGeom prst="rect">
                      <a:avLst/>
                    </a:prstGeom>
                  </pic:spPr>
                </pic:pic>
              </a:graphicData>
            </a:graphic>
          </wp:inline>
        </w:drawing>
      </w:r>
    </w:p>
    <w:p w14:paraId="3F1042A5" w14:textId="18AEF4BD" w:rsidR="00703384" w:rsidRDefault="00F14704" w:rsidP="00F14704">
      <w:pPr>
        <w:pStyle w:val="Caption"/>
        <w:jc w:val="center"/>
        <w:sectPr w:rsidR="00703384" w:rsidSect="00703384">
          <w:type w:val="continuous"/>
          <w:pgSz w:w="11906" w:h="16838"/>
          <w:pgMar w:top="1440" w:right="1440" w:bottom="1440" w:left="1440" w:header="720" w:footer="720" w:gutter="0"/>
          <w:cols w:space="720"/>
          <w:docGrid w:linePitch="360"/>
        </w:sectPr>
      </w:pPr>
      <w:r>
        <w:t xml:space="preserve">Figure </w:t>
      </w:r>
      <w:fldSimple w:instr=" SEQ Figure \* ARABIC ">
        <w:r>
          <w:rPr>
            <w:noProof/>
          </w:rPr>
          <w:t>2</w:t>
        </w:r>
      </w:fldSimple>
      <w:r w:rsidRPr="00D53962">
        <w:t>. Compact workflow of the Smart Multi-Cloud workload migration proces</w:t>
      </w:r>
      <w:r>
        <w:t>s</w:t>
      </w:r>
    </w:p>
    <w:p w14:paraId="2FE52FF2" w14:textId="359195F4" w:rsidR="003511D7" w:rsidRPr="003511D7" w:rsidRDefault="003511D7" w:rsidP="003511D7">
      <w:pPr>
        <w:spacing w:after="0"/>
        <w:jc w:val="both"/>
        <w:rPr>
          <w:rFonts w:ascii="Times New Roman" w:eastAsia="Times New Roman" w:hAnsi="Times New Roman" w:cs="Times New Roman"/>
          <w:b/>
          <w:bCs/>
          <w:color w:val="000000" w:themeColor="text1"/>
          <w:sz w:val="26"/>
          <w:szCs w:val="26"/>
        </w:rPr>
      </w:pPr>
      <w:r w:rsidRPr="332C9747">
        <w:rPr>
          <w:rFonts w:ascii="Times New Roman" w:eastAsia="Times New Roman" w:hAnsi="Times New Roman" w:cs="Times New Roman"/>
          <w:color w:val="000000" w:themeColor="text1"/>
          <w:sz w:val="22"/>
          <w:szCs w:val="22"/>
        </w:rPr>
        <w:t>The operational workflow of the proposed system proceeds as follows:</w:t>
      </w:r>
    </w:p>
    <w:p w14:paraId="02AE7A68" w14:textId="7E3AC6AF" w:rsidR="00703384" w:rsidRDefault="00703384" w:rsidP="00703384">
      <w:pPr>
        <w:pStyle w:val="ListParagraph"/>
        <w:numPr>
          <w:ilvl w:val="0"/>
          <w:numId w:val="8"/>
        </w:num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Users access the a</w:t>
      </w:r>
      <w:r w:rsidR="00F14704">
        <w:rPr>
          <w:rFonts w:ascii="Times New Roman" w:eastAsia="Times New Roman" w:hAnsi="Times New Roman" w:cs="Times New Roman"/>
          <w:color w:val="000000" w:themeColor="text1"/>
          <w:sz w:val="22"/>
          <w:szCs w:val="22"/>
        </w:rPr>
        <w:t>p</w:t>
      </w:r>
      <w:r w:rsidRPr="332C9747">
        <w:rPr>
          <w:rFonts w:ascii="Times New Roman" w:eastAsia="Times New Roman" w:hAnsi="Times New Roman" w:cs="Times New Roman"/>
          <w:color w:val="000000" w:themeColor="text1"/>
          <w:sz w:val="22"/>
          <w:szCs w:val="22"/>
        </w:rPr>
        <w:t>plication through a domain name.</w:t>
      </w:r>
    </w:p>
    <w:p w14:paraId="7A9AA5F8" w14:textId="77777777" w:rsidR="00703384" w:rsidRDefault="00703384" w:rsidP="00703384">
      <w:pPr>
        <w:pStyle w:val="ListParagraph"/>
        <w:numPr>
          <w:ilvl w:val="0"/>
          <w:numId w:val="8"/>
        </w:num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monitoring layer continuously collects performance and cost metrics.</w:t>
      </w:r>
    </w:p>
    <w:p w14:paraId="19DE1229" w14:textId="77777777" w:rsidR="00703384" w:rsidRDefault="00703384" w:rsidP="00703384">
      <w:pPr>
        <w:pStyle w:val="ListParagraph"/>
        <w:numPr>
          <w:ilvl w:val="0"/>
          <w:numId w:val="8"/>
        </w:num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Smart Decision Engine evaluates cloud environments using multi-criteria optimization.</w:t>
      </w:r>
    </w:p>
    <w:p w14:paraId="776B6B0F" w14:textId="77777777" w:rsidR="00703384" w:rsidRDefault="00703384" w:rsidP="00703384">
      <w:pPr>
        <w:pStyle w:val="ListParagraph"/>
        <w:numPr>
          <w:ilvl w:val="0"/>
          <w:numId w:val="8"/>
        </w:num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If migration conditions are satisfied, the Migration Orchestrator initiates workload relocation.</w:t>
      </w:r>
    </w:p>
    <w:p w14:paraId="6EF7192E" w14:textId="77777777" w:rsidR="00703384" w:rsidRDefault="00703384" w:rsidP="00703384">
      <w:pPr>
        <w:pStyle w:val="ListParagraph"/>
        <w:numPr>
          <w:ilvl w:val="0"/>
          <w:numId w:val="8"/>
        </w:num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Legacy applications are converted into containers using the Containerization Adapter.</w:t>
      </w:r>
    </w:p>
    <w:p w14:paraId="188DE7EF" w14:textId="77777777" w:rsidR="00703384" w:rsidRDefault="00703384" w:rsidP="00703384">
      <w:pPr>
        <w:pStyle w:val="ListParagraph"/>
        <w:numPr>
          <w:ilvl w:val="0"/>
          <w:numId w:val="8"/>
        </w:num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The container image is deployed to the selected cloud environment.</w:t>
      </w:r>
    </w:p>
    <w:p w14:paraId="170776CC" w14:textId="77777777" w:rsidR="00703384" w:rsidRDefault="00703384" w:rsidP="00703384">
      <w:pPr>
        <w:pStyle w:val="ListParagraph"/>
        <w:numPr>
          <w:ilvl w:val="0"/>
          <w:numId w:val="8"/>
        </w:num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Health checks verify application availability in the new environment.</w:t>
      </w:r>
    </w:p>
    <w:p w14:paraId="146521B7" w14:textId="77777777" w:rsidR="00703384" w:rsidRDefault="00703384" w:rsidP="00703384">
      <w:pPr>
        <w:pStyle w:val="ListParagraph"/>
        <w:numPr>
          <w:ilvl w:val="0"/>
          <w:numId w:val="8"/>
        </w:numPr>
        <w:spacing w:before="240" w:after="240"/>
        <w:jc w:val="both"/>
        <w:rPr>
          <w:rFonts w:ascii="Times New Roman" w:eastAsia="Times New Roman" w:hAnsi="Times New Roman" w:cs="Times New Roman"/>
          <w:color w:val="000000" w:themeColor="text1"/>
          <w:sz w:val="22"/>
          <w:szCs w:val="22"/>
        </w:rPr>
      </w:pPr>
      <w:r w:rsidRPr="332C9747">
        <w:rPr>
          <w:rFonts w:ascii="Times New Roman" w:eastAsia="Times New Roman" w:hAnsi="Times New Roman" w:cs="Times New Roman"/>
          <w:color w:val="000000" w:themeColor="text1"/>
          <w:sz w:val="22"/>
          <w:szCs w:val="22"/>
        </w:rPr>
        <w:t>DNS records are updated to redirect user traffic to the new cloud provider.</w:t>
      </w:r>
    </w:p>
    <w:p w14:paraId="787404AA"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rPr>
      </w:pPr>
    </w:p>
    <w:p w14:paraId="348C39D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 PROPOSED METHODOLOGY</w:t>
      </w:r>
    </w:p>
    <w:p w14:paraId="029353A2"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68FC2A9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4.1 Methodology Overview</w:t>
      </w:r>
    </w:p>
    <w:p w14:paraId="2CFBD52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proposed methodology for the Smart Multi-Cloud Workload Migrator establishes a structured, end-to-end pipeline that transforms the high-level system architecture described in Section 3 into concrete, implementable procedures. While the system model defines what components exist and how they interrelate, the methodology specifies how each component operates, how decisions are made, how workloads are physically relocated, and how service continuity is enforced throughout the process.</w:t>
      </w:r>
    </w:p>
    <w:p w14:paraId="542D1D4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The methodology is organized around five core procedural phases that correspond to </w:t>
      </w:r>
      <w:r w:rsidRPr="00127A76">
        <w:rPr>
          <w:rFonts w:ascii="Times New Roman" w:eastAsia="Times New Roman" w:hAnsi="Times New Roman" w:cs="Times New Roman"/>
          <w:color w:val="000000" w:themeColor="text1"/>
          <w:sz w:val="22"/>
          <w:szCs w:val="22"/>
          <w:lang w:val="en-IN"/>
        </w:rPr>
        <w:lastRenderedPageBreak/>
        <w:t>the operational lifecycle of a workload migration event:</w:t>
      </w:r>
    </w:p>
    <w:p w14:paraId="61C8D3A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1. Phase 1: </w:t>
      </w:r>
      <w:r w:rsidRPr="00127A76">
        <w:rPr>
          <w:rFonts w:ascii="Times New Roman" w:eastAsia="Times New Roman" w:hAnsi="Times New Roman" w:cs="Times New Roman"/>
          <w:color w:val="000000" w:themeColor="text1"/>
          <w:sz w:val="22"/>
          <w:szCs w:val="22"/>
          <w:lang w:val="en-IN"/>
        </w:rPr>
        <w:t>Workload Assessment and Containerization</w:t>
      </w:r>
    </w:p>
    <w:p w14:paraId="706D9E7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2. Phase 2: </w:t>
      </w:r>
      <w:r w:rsidRPr="00127A76">
        <w:rPr>
          <w:rFonts w:ascii="Times New Roman" w:eastAsia="Times New Roman" w:hAnsi="Times New Roman" w:cs="Times New Roman"/>
          <w:color w:val="000000" w:themeColor="text1"/>
          <w:sz w:val="22"/>
          <w:szCs w:val="22"/>
          <w:lang w:val="en-IN"/>
        </w:rPr>
        <w:t>Continuous Monitoring and Trigger Evaluation</w:t>
      </w:r>
    </w:p>
    <w:p w14:paraId="3865166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3. Phase 3: </w:t>
      </w:r>
      <w:r w:rsidRPr="00127A76">
        <w:rPr>
          <w:rFonts w:ascii="Times New Roman" w:eastAsia="Times New Roman" w:hAnsi="Times New Roman" w:cs="Times New Roman"/>
          <w:color w:val="000000" w:themeColor="text1"/>
          <w:sz w:val="22"/>
          <w:szCs w:val="22"/>
          <w:lang w:val="en-IN"/>
        </w:rPr>
        <w:t>Multi-Criteria Cloud Selection</w:t>
      </w:r>
    </w:p>
    <w:p w14:paraId="1919E2F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4. Phase 4: </w:t>
      </w:r>
      <w:r w:rsidRPr="00127A76">
        <w:rPr>
          <w:rFonts w:ascii="Times New Roman" w:eastAsia="Times New Roman" w:hAnsi="Times New Roman" w:cs="Times New Roman"/>
          <w:color w:val="000000" w:themeColor="text1"/>
          <w:sz w:val="22"/>
          <w:szCs w:val="22"/>
          <w:lang w:val="en-IN"/>
        </w:rPr>
        <w:t>Migration Orchestration and Deployment</w:t>
      </w:r>
    </w:p>
    <w:p w14:paraId="1124B3E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5. Phase 5: </w:t>
      </w:r>
      <w:r w:rsidRPr="00127A76">
        <w:rPr>
          <w:rFonts w:ascii="Times New Roman" w:eastAsia="Times New Roman" w:hAnsi="Times New Roman" w:cs="Times New Roman"/>
          <w:color w:val="000000" w:themeColor="text1"/>
          <w:sz w:val="22"/>
          <w:szCs w:val="22"/>
          <w:lang w:val="en-IN"/>
        </w:rPr>
        <w:t>DNS-Based Traffic Cutover and Verification</w:t>
      </w:r>
    </w:p>
    <w:p w14:paraId="4816C27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2C30353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Each phase operates sequentially during a migration event but Phases 1 and 2 run continuously in the background throughout system operation. The methodology is designed to be cloud-agnostic, meaning it applies uniformly regardless of whether the source or target cloud provider is AWS, Azure, or Google Cloud Platform. Figure 1 presents the high-level methodological flow.</w:t>
      </w:r>
    </w:p>
    <w:p w14:paraId="50773A5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09067CB2"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4.2 Phase 1: Workload Assessment and Containerization</w:t>
      </w:r>
    </w:p>
    <w:p w14:paraId="58EA5EA7"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Before any migration activity can occur, each application workload must be assessed for its containerization readiness and encapsulated into a portable, cloud-agnostic deployment artifact. This phase is executed once during initial system onboarding and is repeated whenever a new application is introduced into the migration framework.</w:t>
      </w:r>
    </w:p>
    <w:p w14:paraId="323E0A0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4.2.1 Application Classification</w:t>
      </w:r>
    </w:p>
    <w:p w14:paraId="111394D3"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The first step involves classifying each application according to its deployment </w:t>
      </w:r>
      <w:r w:rsidRPr="00127A76">
        <w:rPr>
          <w:rFonts w:ascii="Times New Roman" w:eastAsia="Times New Roman" w:hAnsi="Times New Roman" w:cs="Times New Roman"/>
          <w:color w:val="000000" w:themeColor="text1"/>
          <w:sz w:val="22"/>
          <w:szCs w:val="22"/>
          <w:lang w:val="en-IN"/>
        </w:rPr>
        <w:t>model. The system distinguishes between two primary categories:</w:t>
      </w:r>
    </w:p>
    <w:p w14:paraId="374113C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Cloud-native containerized applications that are already packaged as Docker or OCI-compliant images and can be directly registered in the container registry without additional transformation.</w:t>
      </w:r>
    </w:p>
    <w:p w14:paraId="56A1A5A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Legacy non-containerized applications that run on virtual machines or platform-specific runtimes and require conversion through the Containerization Adapter Layer prior to migration.</w:t>
      </w:r>
    </w:p>
    <w:p w14:paraId="125D772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26B1BBF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For legacy applications, the Containerization Adapter employs automated conversion tools such as AWS App2Container, </w:t>
      </w:r>
      <w:proofErr w:type="spellStart"/>
      <w:r w:rsidRPr="00127A76">
        <w:rPr>
          <w:rFonts w:ascii="Times New Roman" w:eastAsia="Times New Roman" w:hAnsi="Times New Roman" w:cs="Times New Roman"/>
          <w:color w:val="000000" w:themeColor="text1"/>
          <w:sz w:val="22"/>
          <w:szCs w:val="22"/>
          <w:lang w:val="en-IN"/>
        </w:rPr>
        <w:t>Buildpacks</w:t>
      </w:r>
      <w:proofErr w:type="spellEnd"/>
      <w:r w:rsidRPr="00127A76">
        <w:rPr>
          <w:rFonts w:ascii="Times New Roman" w:eastAsia="Times New Roman" w:hAnsi="Times New Roman" w:cs="Times New Roman"/>
          <w:color w:val="000000" w:themeColor="text1"/>
          <w:sz w:val="22"/>
          <w:szCs w:val="22"/>
          <w:lang w:val="en-IN"/>
        </w:rPr>
        <w:t xml:space="preserve">, or custom </w:t>
      </w:r>
      <w:proofErr w:type="spellStart"/>
      <w:r w:rsidRPr="00127A76">
        <w:rPr>
          <w:rFonts w:ascii="Times New Roman" w:eastAsia="Times New Roman" w:hAnsi="Times New Roman" w:cs="Times New Roman"/>
          <w:color w:val="000000" w:themeColor="text1"/>
          <w:sz w:val="22"/>
          <w:szCs w:val="22"/>
          <w:lang w:val="en-IN"/>
        </w:rPr>
        <w:t>Dockerfile</w:t>
      </w:r>
      <w:proofErr w:type="spellEnd"/>
      <w:r w:rsidRPr="00127A76">
        <w:rPr>
          <w:rFonts w:ascii="Times New Roman" w:eastAsia="Times New Roman" w:hAnsi="Times New Roman" w:cs="Times New Roman"/>
          <w:color w:val="000000" w:themeColor="text1"/>
          <w:sz w:val="22"/>
          <w:szCs w:val="22"/>
          <w:lang w:val="en-IN"/>
        </w:rPr>
        <w:t xml:space="preserve"> generation pipelines. The adapter performs static analysis of the application runtime environment, identifies dependencies, and produces a minimal, reproducible container image. The resulting image is validated against the target platform's architecture requirements — specifically ensuring that images are compiled for the </w:t>
      </w:r>
      <w:proofErr w:type="spellStart"/>
      <w:r w:rsidRPr="00127A76">
        <w:rPr>
          <w:rFonts w:ascii="Times New Roman" w:eastAsia="Times New Roman" w:hAnsi="Times New Roman" w:cs="Times New Roman"/>
          <w:color w:val="000000" w:themeColor="text1"/>
          <w:sz w:val="22"/>
          <w:szCs w:val="22"/>
          <w:lang w:val="en-IN"/>
        </w:rPr>
        <w:t>linux</w:t>
      </w:r>
      <w:proofErr w:type="spellEnd"/>
      <w:r w:rsidRPr="00127A76">
        <w:rPr>
          <w:rFonts w:ascii="Times New Roman" w:eastAsia="Times New Roman" w:hAnsi="Times New Roman" w:cs="Times New Roman"/>
          <w:color w:val="000000" w:themeColor="text1"/>
          <w:sz w:val="22"/>
          <w:szCs w:val="22"/>
          <w:lang w:val="en-IN"/>
        </w:rPr>
        <w:t>/amd64 instruction set, which is required for deployment on standard Kubernetes node pools across AWS EKS, Azure AKS, and Google GKE.</w:t>
      </w:r>
    </w:p>
    <w:p w14:paraId="0B84923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4.2.2 Health Endpoint Enforcement</w:t>
      </w:r>
    </w:p>
    <w:p w14:paraId="77E9937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A mandatory prerequisite for any workload entering the migration pipeline is the exposure of a standardized health check endpoint. The system requires each containerized workload to implement an HTTP endpoint at /health that returns an HTTP 200 status code when the application is operational and ready to serve traffic. This endpoint is consumed by three distinct system components:</w:t>
      </w:r>
    </w:p>
    <w:p w14:paraId="56CABCA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lastRenderedPageBreak/>
        <w:t>• Kubernetes readiness and liveness probes, which gate pod traffic eligibility within the cluster.</w:t>
      </w:r>
    </w:p>
    <w:p w14:paraId="3AB53CA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The Migration Orchestrator, which uses health check responses to confirm successful post-deployment availability before initiating DNS cutover.</w:t>
      </w:r>
    </w:p>
    <w:p w14:paraId="55E47330"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The DNS Manager's health check configuration in services such as AWS Route 53, which automatically removes unhealthy endpoints from DNS resolution pools.</w:t>
      </w:r>
    </w:p>
    <w:p w14:paraId="3823CBD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504F8A9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This three-layer health enforcement model ensures that no user traffic is directed to a newly deployed instance until all three verification layers have independently confirmed availability, substantially reducing the risk of mid-migration service degradation.</w:t>
      </w:r>
    </w:p>
    <w:p w14:paraId="16847F07"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4.2.3 Container Image Versioning and Registry Upload</w:t>
      </w:r>
    </w:p>
    <w:p w14:paraId="7409DD8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Once containerized and validated, each application image is tagged using a semantic versioning scheme (e.g., v1.0, v1.1-hotfix) and pushed to a centralized container registry. The system supports multiple registry implementations including Amazon Elastic Container Registry (ECR), Azure Container Registry, and Google Artifact Registry. The use of OCI-compliant image formats ensures that images stored in any supported registry can be retrieved and deployed on any target cloud environment without format conversion.</w:t>
      </w:r>
    </w:p>
    <w:p w14:paraId="398531E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The registry serves as the single source of truth for deployable workload artifacts. During migration, the Migration Orchestrator pulls the designated image version from the registry and deploys it to </w:t>
      </w:r>
      <w:r w:rsidRPr="00127A76">
        <w:rPr>
          <w:rFonts w:ascii="Times New Roman" w:eastAsia="Times New Roman" w:hAnsi="Times New Roman" w:cs="Times New Roman"/>
          <w:color w:val="000000" w:themeColor="text1"/>
          <w:sz w:val="22"/>
          <w:szCs w:val="22"/>
          <w:lang w:val="en-IN"/>
        </w:rPr>
        <w:t>the target cloud cluster, ensuring deployment reproducibility and eliminating environment-specific build dependencies.</w:t>
      </w:r>
    </w:p>
    <w:p w14:paraId="45D94AD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3C1993C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4.3 Phase 2: Continuous Monitoring and Migration Trigger Evaluation</w:t>
      </w:r>
    </w:p>
    <w:p w14:paraId="3C46A8B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monitoring subsystem operates as a perpetual background process that collects, aggregates, and evaluates operational telemetry from all active cloud deployments. Its primary purpose is to detect conditions that warrant workload relocation and to supply the Smart Decision Engine with the real-time data required for cloud provider scoring.</w:t>
      </w:r>
    </w:p>
    <w:p w14:paraId="7DC408A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4.3.1 Metrics Collection Architecture</w:t>
      </w:r>
    </w:p>
    <w:p w14:paraId="648D4FD3"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monitoring layer integrates with cloud-native observability platforms to collect telemetry without requiring application-level instrumentation changes. The following data sources are supported:</w:t>
      </w:r>
    </w:p>
    <w:p w14:paraId="1C3C4B6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Prometheus and Grafana for cluster-level and pod-level resource metrics (CPU utilization, memory consumption, network throughput, and request rate).</w:t>
      </w:r>
    </w:p>
    <w:p w14:paraId="5025DB5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AWS CloudWatch, Azure Monitor, and Google Cloud Operations Suite for provider-specific metrics including instance health, service availability, and billing data.</w:t>
      </w:r>
    </w:p>
    <w:p w14:paraId="575CEE3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Application Performance Monitoring (APM) agents for request latency distribution, error rates, and p95/p99 response time percentiles.</w:t>
      </w:r>
    </w:p>
    <w:p w14:paraId="232BFB7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6959E5C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Metrics are collected at a configurable polling interval (default: 60 seconds) and stored in a time-series format. The system maintains a rolling window of historical </w:t>
      </w:r>
      <w:r w:rsidRPr="00127A76">
        <w:rPr>
          <w:rFonts w:ascii="Times New Roman" w:eastAsia="Times New Roman" w:hAnsi="Times New Roman" w:cs="Times New Roman"/>
          <w:color w:val="000000" w:themeColor="text1"/>
          <w:sz w:val="22"/>
          <w:szCs w:val="22"/>
          <w:lang w:val="en-IN"/>
        </w:rPr>
        <w:lastRenderedPageBreak/>
        <w:t>metrics spanning the preceding evaluation period to enable trend detection and suppress transient spike-induced false positives.</w:t>
      </w:r>
    </w:p>
    <w:p w14:paraId="38D016C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4.3.2 Threshold Definition and Breach Detection</w:t>
      </w:r>
    </w:p>
    <w:p w14:paraId="2207695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trigger evaluation engine compares collected metrics against a set of configurable thresholds. The following primary trigger conditions are defined:</w:t>
      </w:r>
    </w:p>
    <w:p w14:paraId="36D46013" w14:textId="77777777" w:rsidR="00127A76" w:rsidRDefault="00127A76" w:rsidP="00127A76">
      <w:pPr>
        <w:spacing w:before="240" w:after="240"/>
        <w:jc w:val="both"/>
        <w:rPr>
          <w:rFonts w:ascii="Times New Roman" w:eastAsia="Times New Roman" w:hAnsi="Times New Roman" w:cs="Times New Roman"/>
          <w:b/>
          <w:bCs/>
          <w:color w:val="000000" w:themeColor="text1"/>
          <w:sz w:val="22"/>
          <w:szCs w:val="22"/>
          <w:lang w:val="en-IN"/>
        </w:rPr>
        <w:sectPr w:rsidR="00127A76" w:rsidSect="00CC7876">
          <w:type w:val="continuous"/>
          <w:pgSz w:w="11906" w:h="16838"/>
          <w:pgMar w:top="1440" w:right="1440" w:bottom="1440" w:left="1440" w:header="720" w:footer="720" w:gutter="0"/>
          <w:cols w:num="2" w:space="720"/>
          <w:docGrid w:linePitch="360"/>
        </w:sectPr>
      </w:pPr>
    </w:p>
    <w:p w14:paraId="7ECBED96" w14:textId="77777777" w:rsidR="00127A76" w:rsidRDefault="00127A76" w:rsidP="00127A76">
      <w:pPr>
        <w:spacing w:before="240" w:after="240"/>
        <w:jc w:val="both"/>
        <w:rPr>
          <w:rFonts w:ascii="Times New Roman" w:eastAsia="Times New Roman" w:hAnsi="Times New Roman" w:cs="Times New Roman"/>
          <w:color w:val="000000" w:themeColor="text1"/>
          <w:sz w:val="22"/>
          <w:szCs w:val="22"/>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5"/>
        <w:gridCol w:w="2236"/>
        <w:gridCol w:w="2417"/>
        <w:gridCol w:w="2082"/>
      </w:tblGrid>
      <w:tr w:rsidR="00127A76" w14:paraId="72FDFA4C"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0669797" w14:textId="77777777" w:rsidR="00127A76" w:rsidRDefault="00127A76" w:rsidP="009A1966">
            <w:pPr>
              <w:jc w:val="center"/>
            </w:pPr>
            <w:r>
              <w:rPr>
                <w:rFonts w:ascii="Times New Roman" w:eastAsia="Times New Roman" w:hAnsi="Times New Roman" w:cs="Times New Roman"/>
                <w:b/>
                <w:bCs/>
                <w:sz w:val="22"/>
                <w:szCs w:val="22"/>
              </w:rPr>
              <w:t>Metric</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AD25EB0" w14:textId="77777777" w:rsidR="00127A76" w:rsidRDefault="00127A76" w:rsidP="009A1966">
            <w:pPr>
              <w:jc w:val="center"/>
            </w:pPr>
            <w:r>
              <w:rPr>
                <w:rFonts w:ascii="Times New Roman" w:eastAsia="Times New Roman" w:hAnsi="Times New Roman" w:cs="Times New Roman"/>
                <w:b/>
                <w:bCs/>
                <w:sz w:val="22"/>
                <w:szCs w:val="22"/>
              </w:rPr>
              <w:t>Default Threshold</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63874FE4" w14:textId="77777777" w:rsidR="00127A76" w:rsidRDefault="00127A76" w:rsidP="009A1966">
            <w:pPr>
              <w:jc w:val="center"/>
            </w:pPr>
            <w:r>
              <w:rPr>
                <w:rFonts w:ascii="Times New Roman" w:eastAsia="Times New Roman" w:hAnsi="Times New Roman" w:cs="Times New Roman"/>
                <w:b/>
                <w:bCs/>
                <w:sz w:val="22"/>
                <w:szCs w:val="22"/>
              </w:rPr>
              <w:t>Evaluation Window</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910C261" w14:textId="77777777" w:rsidR="00127A76" w:rsidRDefault="00127A76" w:rsidP="009A1966">
            <w:pPr>
              <w:jc w:val="center"/>
            </w:pPr>
            <w:r>
              <w:rPr>
                <w:rFonts w:ascii="Times New Roman" w:eastAsia="Times New Roman" w:hAnsi="Times New Roman" w:cs="Times New Roman"/>
                <w:b/>
                <w:bCs/>
                <w:sz w:val="22"/>
                <w:szCs w:val="22"/>
              </w:rPr>
              <w:t>Trigger Logic</w:t>
            </w:r>
          </w:p>
        </w:tc>
      </w:tr>
      <w:tr w:rsidR="00127A76" w14:paraId="641E3E08"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782781" w14:textId="77777777" w:rsidR="00127A76" w:rsidRDefault="00127A76" w:rsidP="009A1966">
            <w:r>
              <w:rPr>
                <w:rFonts w:ascii="Times New Roman" w:eastAsia="Times New Roman" w:hAnsi="Times New Roman" w:cs="Times New Roman"/>
                <w:sz w:val="22"/>
                <w:szCs w:val="22"/>
              </w:rPr>
              <w:t>CPU Utilization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9036EF" w14:textId="77777777" w:rsidR="00127A76" w:rsidRDefault="00127A76" w:rsidP="009A1966">
            <w:r>
              <w:rPr>
                <w:rFonts w:ascii="Times New Roman" w:eastAsia="Times New Roman" w:hAnsi="Times New Roman" w:cs="Times New Roman"/>
                <w:sz w:val="22"/>
                <w:szCs w:val="22"/>
              </w:rPr>
              <w:t>&gt; 80%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985C13" w14:textId="77777777" w:rsidR="00127A76" w:rsidRDefault="00127A76" w:rsidP="009A1966">
            <w:r>
              <w:rPr>
                <w:rFonts w:ascii="Times New Roman" w:eastAsia="Times New Roman" w:hAnsi="Times New Roman" w:cs="Times New Roman"/>
                <w:sz w:val="22"/>
                <w:szCs w:val="22"/>
              </w:rPr>
              <w:t>5 minutes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10F1EF" w14:textId="77777777" w:rsidR="00127A76" w:rsidRDefault="00127A76" w:rsidP="009A1966">
            <w:r>
              <w:rPr>
                <w:rFonts w:ascii="Times New Roman" w:eastAsia="Times New Roman" w:hAnsi="Times New Roman" w:cs="Times New Roman"/>
                <w:sz w:val="22"/>
                <w:szCs w:val="22"/>
              </w:rPr>
              <w:t>Sustained breach</w:t>
            </w:r>
          </w:p>
        </w:tc>
      </w:tr>
      <w:tr w:rsidR="00127A76" w14:paraId="24436038"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3E9B6F" w14:textId="77777777" w:rsidR="00127A76" w:rsidRDefault="00127A76" w:rsidP="009A1966">
            <w:r>
              <w:rPr>
                <w:rFonts w:ascii="Times New Roman" w:eastAsia="Times New Roman" w:hAnsi="Times New Roman" w:cs="Times New Roman"/>
                <w:sz w:val="22"/>
                <w:szCs w:val="22"/>
              </w:rPr>
              <w:t>Memory Utilization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DEC0F" w14:textId="77777777" w:rsidR="00127A76" w:rsidRDefault="00127A76" w:rsidP="009A1966">
            <w:r>
              <w:rPr>
                <w:rFonts w:ascii="Times New Roman" w:eastAsia="Times New Roman" w:hAnsi="Times New Roman" w:cs="Times New Roman"/>
                <w:sz w:val="22"/>
                <w:szCs w:val="22"/>
              </w:rPr>
              <w:t>&gt; 85%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B5C34E" w14:textId="77777777" w:rsidR="00127A76" w:rsidRDefault="00127A76" w:rsidP="009A1966">
            <w:r>
              <w:rPr>
                <w:rFonts w:ascii="Times New Roman" w:eastAsia="Times New Roman" w:hAnsi="Times New Roman" w:cs="Times New Roman"/>
                <w:sz w:val="22"/>
                <w:szCs w:val="22"/>
              </w:rPr>
              <w:t>5 minutes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126897" w14:textId="77777777" w:rsidR="00127A76" w:rsidRDefault="00127A76" w:rsidP="009A1966">
            <w:r>
              <w:rPr>
                <w:rFonts w:ascii="Times New Roman" w:eastAsia="Times New Roman" w:hAnsi="Times New Roman" w:cs="Times New Roman"/>
                <w:sz w:val="22"/>
                <w:szCs w:val="22"/>
              </w:rPr>
              <w:t>Sustained breach</w:t>
            </w:r>
          </w:p>
        </w:tc>
      </w:tr>
      <w:tr w:rsidR="00127A76" w14:paraId="4F9E1C2C"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CF0575" w14:textId="77777777" w:rsidR="00127A76" w:rsidRDefault="00127A76" w:rsidP="009A1966">
            <w:r>
              <w:rPr>
                <w:rFonts w:ascii="Times New Roman" w:eastAsia="Times New Roman" w:hAnsi="Times New Roman" w:cs="Times New Roman"/>
                <w:sz w:val="22"/>
                <w:szCs w:val="22"/>
              </w:rPr>
              <w:t>p95 Request Latency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112D6C" w14:textId="77777777" w:rsidR="00127A76" w:rsidRDefault="00127A76" w:rsidP="009A1966">
            <w:r>
              <w:rPr>
                <w:rFonts w:ascii="Times New Roman" w:eastAsia="Times New Roman" w:hAnsi="Times New Roman" w:cs="Times New Roman"/>
                <w:sz w:val="22"/>
                <w:szCs w:val="22"/>
              </w:rPr>
              <w:t xml:space="preserve">&gt; 500 </w:t>
            </w:r>
            <w:proofErr w:type="spellStart"/>
            <w:r>
              <w:rPr>
                <w:rFonts w:ascii="Times New Roman" w:eastAsia="Times New Roman" w:hAnsi="Times New Roman" w:cs="Times New Roman"/>
                <w:sz w:val="22"/>
                <w:szCs w:val="22"/>
              </w:rPr>
              <w:t>ms</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0872DB" w14:textId="77777777" w:rsidR="00127A76" w:rsidRDefault="00127A76" w:rsidP="009A1966">
            <w:r>
              <w:rPr>
                <w:rFonts w:ascii="Times New Roman" w:eastAsia="Times New Roman" w:hAnsi="Times New Roman" w:cs="Times New Roman"/>
                <w:sz w:val="22"/>
                <w:szCs w:val="22"/>
              </w:rPr>
              <w:t>5 minutes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2B27AE" w14:textId="77777777" w:rsidR="00127A76" w:rsidRDefault="00127A76" w:rsidP="009A1966">
            <w:r>
              <w:rPr>
                <w:rFonts w:ascii="Times New Roman" w:eastAsia="Times New Roman" w:hAnsi="Times New Roman" w:cs="Times New Roman"/>
                <w:sz w:val="22"/>
                <w:szCs w:val="22"/>
              </w:rPr>
              <w:t>Sustained breach</w:t>
            </w:r>
          </w:p>
        </w:tc>
      </w:tr>
      <w:tr w:rsidR="00127A76" w14:paraId="603304C3"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AB9547" w14:textId="77777777" w:rsidR="00127A76" w:rsidRDefault="00127A76" w:rsidP="009A1966">
            <w:r>
              <w:rPr>
                <w:rFonts w:ascii="Times New Roman" w:eastAsia="Times New Roman" w:hAnsi="Times New Roman" w:cs="Times New Roman"/>
                <w:sz w:val="22"/>
                <w:szCs w:val="22"/>
              </w:rPr>
              <w:t>HTTP Error Rate (5xx)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8AC810" w14:textId="77777777" w:rsidR="00127A76" w:rsidRDefault="00127A76" w:rsidP="009A1966">
            <w:r>
              <w:rPr>
                <w:rFonts w:ascii="Times New Roman" w:eastAsia="Times New Roman" w:hAnsi="Times New Roman" w:cs="Times New Roman"/>
                <w:sz w:val="22"/>
                <w:szCs w:val="22"/>
              </w:rPr>
              <w:t>&gt; 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2A1702" w14:textId="77777777" w:rsidR="00127A76" w:rsidRDefault="00127A76" w:rsidP="009A1966">
            <w:r>
              <w:rPr>
                <w:rFonts w:ascii="Times New Roman" w:eastAsia="Times New Roman" w:hAnsi="Times New Roman" w:cs="Times New Roman"/>
                <w:sz w:val="22"/>
                <w:szCs w:val="22"/>
              </w:rPr>
              <w:t>2 minutes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C171AE" w14:textId="77777777" w:rsidR="00127A76" w:rsidRDefault="00127A76" w:rsidP="009A1966">
            <w:r>
              <w:rPr>
                <w:rFonts w:ascii="Times New Roman" w:eastAsia="Times New Roman" w:hAnsi="Times New Roman" w:cs="Times New Roman"/>
                <w:sz w:val="22"/>
                <w:szCs w:val="22"/>
              </w:rPr>
              <w:t>Any breach</w:t>
            </w:r>
          </w:p>
        </w:tc>
      </w:tr>
      <w:tr w:rsidR="00127A76" w14:paraId="0F245EAA"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4AA3E7" w14:textId="77777777" w:rsidR="00127A76" w:rsidRDefault="00127A76" w:rsidP="009A1966">
            <w:r>
              <w:rPr>
                <w:rFonts w:ascii="Times New Roman" w:eastAsia="Times New Roman" w:hAnsi="Times New Roman" w:cs="Times New Roman"/>
                <w:sz w:val="22"/>
                <w:szCs w:val="22"/>
              </w:rPr>
              <w:t>Hourly Cost Spike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7EA072" w14:textId="77777777" w:rsidR="00127A76" w:rsidRDefault="00127A76" w:rsidP="009A1966">
            <w:r>
              <w:rPr>
                <w:rFonts w:ascii="Times New Roman" w:eastAsia="Times New Roman" w:hAnsi="Times New Roman" w:cs="Times New Roman"/>
                <w:sz w:val="22"/>
                <w:szCs w:val="22"/>
              </w:rPr>
              <w:t>&gt; 1.5× 7-day avg.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DE12DA" w14:textId="77777777" w:rsidR="00127A76" w:rsidRDefault="00127A76" w:rsidP="009A1966">
            <w:r>
              <w:rPr>
                <w:rFonts w:ascii="Times New Roman" w:eastAsia="Times New Roman" w:hAnsi="Times New Roman" w:cs="Times New Roman"/>
                <w:sz w:val="22"/>
                <w:szCs w:val="22"/>
              </w:rPr>
              <w:t>1 hour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85FC13" w14:textId="77777777" w:rsidR="00127A76" w:rsidRDefault="00127A76" w:rsidP="009A1966">
            <w:r>
              <w:rPr>
                <w:rFonts w:ascii="Times New Roman" w:eastAsia="Times New Roman" w:hAnsi="Times New Roman" w:cs="Times New Roman"/>
                <w:sz w:val="22"/>
                <w:szCs w:val="22"/>
              </w:rPr>
              <w:t>Any breach</w:t>
            </w:r>
          </w:p>
        </w:tc>
      </w:tr>
      <w:tr w:rsidR="00127A76" w14:paraId="5F060E31"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50599B" w14:textId="77777777" w:rsidR="00127A76" w:rsidRDefault="00127A76" w:rsidP="009A1966">
            <w:r>
              <w:rPr>
                <w:rFonts w:ascii="Times New Roman" w:eastAsia="Times New Roman" w:hAnsi="Times New Roman" w:cs="Times New Roman"/>
                <w:sz w:val="22"/>
                <w:szCs w:val="22"/>
              </w:rPr>
              <w:t>Health Check Failure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8A4B7B" w14:textId="77777777" w:rsidR="00127A76" w:rsidRDefault="00127A76" w:rsidP="009A1966">
            <w:r>
              <w:rPr>
                <w:rFonts w:ascii="Times New Roman" w:eastAsia="Times New Roman" w:hAnsi="Times New Roman" w:cs="Times New Roman"/>
                <w:sz w:val="22"/>
                <w:szCs w:val="22"/>
              </w:rPr>
              <w:t>2 consecutive fails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7E5BB2" w14:textId="77777777" w:rsidR="00127A76" w:rsidRDefault="00127A76" w:rsidP="009A1966">
            <w:r>
              <w:rPr>
                <w:rFonts w:ascii="Times New Roman" w:eastAsia="Times New Roman" w:hAnsi="Times New Roman" w:cs="Times New Roman"/>
                <w:sz w:val="22"/>
                <w:szCs w:val="22"/>
              </w:rPr>
              <w:t>N/A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906882" w14:textId="77777777" w:rsidR="00127A76" w:rsidRDefault="00127A76" w:rsidP="009A1966">
            <w:r>
              <w:rPr>
                <w:rFonts w:ascii="Times New Roman" w:eastAsia="Times New Roman" w:hAnsi="Times New Roman" w:cs="Times New Roman"/>
                <w:sz w:val="22"/>
                <w:szCs w:val="22"/>
              </w:rPr>
              <w:t>Immediate trigger</w:t>
            </w:r>
          </w:p>
        </w:tc>
      </w:tr>
    </w:tbl>
    <w:p w14:paraId="0C767765"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sectPr w:rsidR="00127A76" w:rsidSect="00127A76">
          <w:type w:val="continuous"/>
          <w:pgSz w:w="11906" w:h="16838"/>
          <w:pgMar w:top="1440" w:right="1440" w:bottom="1440" w:left="1440" w:header="720" w:footer="720" w:gutter="0"/>
          <w:cols w:space="720"/>
          <w:docGrid w:linePitch="360"/>
        </w:sectPr>
      </w:pPr>
    </w:p>
    <w:p w14:paraId="470C22A3"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3799947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To prevent migration decisions driven by transient workload fluctuations, the system requires a configurable number of consecutive evaluation cycles — denoted </w:t>
      </w:r>
      <w:proofErr w:type="spellStart"/>
      <w:r w:rsidRPr="00127A76">
        <w:rPr>
          <w:rFonts w:ascii="Times New Roman" w:eastAsia="Times New Roman" w:hAnsi="Times New Roman" w:cs="Times New Roman"/>
          <w:color w:val="000000" w:themeColor="text1"/>
          <w:sz w:val="22"/>
          <w:szCs w:val="22"/>
          <w:lang w:val="en-IN"/>
        </w:rPr>
        <w:t>N_breach</w:t>
      </w:r>
      <w:proofErr w:type="spellEnd"/>
      <w:r w:rsidRPr="00127A76">
        <w:rPr>
          <w:rFonts w:ascii="Times New Roman" w:eastAsia="Times New Roman" w:hAnsi="Times New Roman" w:cs="Times New Roman"/>
          <w:color w:val="000000" w:themeColor="text1"/>
          <w:sz w:val="22"/>
          <w:szCs w:val="22"/>
          <w:lang w:val="en-IN"/>
        </w:rPr>
        <w:t xml:space="preserve"> (default: 3) — to report a threshold violation before classifying the condition as a sustained breach. This debouncing mechanism is formally expressed as:</w:t>
      </w:r>
    </w:p>
    <w:p w14:paraId="19E1947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Trigger = TRUE   </w:t>
      </w:r>
      <w:proofErr w:type="spellStart"/>
      <w:r w:rsidRPr="00127A76">
        <w:rPr>
          <w:rFonts w:ascii="Times New Roman" w:eastAsia="Times New Roman" w:hAnsi="Times New Roman" w:cs="Times New Roman"/>
          <w:b/>
          <w:bCs/>
          <w:color w:val="000000" w:themeColor="text1"/>
          <w:sz w:val="22"/>
          <w:szCs w:val="22"/>
          <w:lang w:val="en-IN"/>
        </w:rPr>
        <w:t>iff</w:t>
      </w:r>
      <w:proofErr w:type="spellEnd"/>
      <w:r w:rsidRPr="00127A76">
        <w:rPr>
          <w:rFonts w:ascii="Times New Roman" w:eastAsia="Times New Roman" w:hAnsi="Times New Roman" w:cs="Times New Roman"/>
          <w:b/>
          <w:bCs/>
          <w:color w:val="000000" w:themeColor="text1"/>
          <w:sz w:val="22"/>
          <w:szCs w:val="22"/>
          <w:lang w:val="en-IN"/>
        </w:rPr>
        <w:t xml:space="preserve">   Σ breach(t-k) = </w:t>
      </w:r>
      <w:proofErr w:type="spellStart"/>
      <w:r w:rsidRPr="00127A76">
        <w:rPr>
          <w:rFonts w:ascii="Times New Roman" w:eastAsia="Times New Roman" w:hAnsi="Times New Roman" w:cs="Times New Roman"/>
          <w:b/>
          <w:bCs/>
          <w:color w:val="000000" w:themeColor="text1"/>
          <w:sz w:val="22"/>
          <w:szCs w:val="22"/>
          <w:lang w:val="en-IN"/>
        </w:rPr>
        <w:t>N_breach</w:t>
      </w:r>
      <w:proofErr w:type="spellEnd"/>
      <w:r w:rsidRPr="00127A76">
        <w:rPr>
          <w:rFonts w:ascii="Times New Roman" w:eastAsia="Times New Roman" w:hAnsi="Times New Roman" w:cs="Times New Roman"/>
          <w:b/>
          <w:bCs/>
          <w:color w:val="000000" w:themeColor="text1"/>
          <w:sz w:val="22"/>
          <w:szCs w:val="22"/>
          <w:lang w:val="en-IN"/>
        </w:rPr>
        <w:t xml:space="preserve">   for k </w:t>
      </w:r>
      <w:r w:rsidRPr="00127A76">
        <w:rPr>
          <w:rFonts w:ascii="Cambria Math" w:eastAsia="Times New Roman" w:hAnsi="Cambria Math" w:cs="Cambria Math"/>
          <w:b/>
          <w:bCs/>
          <w:color w:val="000000" w:themeColor="text1"/>
          <w:sz w:val="22"/>
          <w:szCs w:val="22"/>
          <w:lang w:val="en-IN"/>
        </w:rPr>
        <w:t>∈</w:t>
      </w:r>
      <w:r w:rsidRPr="00127A76">
        <w:rPr>
          <w:rFonts w:ascii="Times New Roman" w:eastAsia="Times New Roman" w:hAnsi="Times New Roman" w:cs="Times New Roman"/>
          <w:b/>
          <w:bCs/>
          <w:color w:val="000000" w:themeColor="text1"/>
          <w:sz w:val="22"/>
          <w:szCs w:val="22"/>
          <w:lang w:val="en-IN"/>
        </w:rPr>
        <w:t xml:space="preserve"> {0, 1, ..., N_breach-1}</w:t>
      </w:r>
    </w:p>
    <w:p w14:paraId="7E0A5187"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where breach(t) = 1 if any monitored metric exceeds its defined threshold at evaluation cycle t, and 0 otherwise. A Trigger value of TRUE initiates the cloud scoring procedure described in Phase 3.</w:t>
      </w:r>
    </w:p>
    <w:p w14:paraId="6CE6AB3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4.3.3 Anti-Flapping and Hysteresis Control</w:t>
      </w:r>
    </w:p>
    <w:p w14:paraId="6844457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To further protect against oscillatory migration </w:t>
      </w:r>
      <w:proofErr w:type="spellStart"/>
      <w:r w:rsidRPr="00127A76">
        <w:rPr>
          <w:rFonts w:ascii="Times New Roman" w:eastAsia="Times New Roman" w:hAnsi="Times New Roman" w:cs="Times New Roman"/>
          <w:color w:val="000000" w:themeColor="text1"/>
          <w:sz w:val="22"/>
          <w:szCs w:val="22"/>
          <w:lang w:val="en-IN"/>
        </w:rPr>
        <w:t>behavior</w:t>
      </w:r>
      <w:proofErr w:type="spellEnd"/>
      <w:r w:rsidRPr="00127A76">
        <w:rPr>
          <w:rFonts w:ascii="Times New Roman" w:eastAsia="Times New Roman" w:hAnsi="Times New Roman" w:cs="Times New Roman"/>
          <w:color w:val="000000" w:themeColor="text1"/>
          <w:sz w:val="22"/>
          <w:szCs w:val="22"/>
          <w:lang w:val="en-IN"/>
        </w:rPr>
        <w:t xml:space="preserve"> — where the system repeatedly migrates between two providers — a hysteresis control mechanism enforces a minimum post-migration stability window. After any successful migration event, the trigger evaluation engine enters a cooldown period of </w:t>
      </w:r>
      <w:proofErr w:type="spellStart"/>
      <w:r w:rsidRPr="00127A76">
        <w:rPr>
          <w:rFonts w:ascii="Times New Roman" w:eastAsia="Times New Roman" w:hAnsi="Times New Roman" w:cs="Times New Roman"/>
          <w:color w:val="000000" w:themeColor="text1"/>
          <w:sz w:val="22"/>
          <w:szCs w:val="22"/>
          <w:lang w:val="en-IN"/>
        </w:rPr>
        <w:t>T_cool</w:t>
      </w:r>
      <w:proofErr w:type="spellEnd"/>
      <w:r w:rsidRPr="00127A76">
        <w:rPr>
          <w:rFonts w:ascii="Times New Roman" w:eastAsia="Times New Roman" w:hAnsi="Times New Roman" w:cs="Times New Roman"/>
          <w:color w:val="000000" w:themeColor="text1"/>
          <w:sz w:val="22"/>
          <w:szCs w:val="22"/>
          <w:lang w:val="en-IN"/>
        </w:rPr>
        <w:t xml:space="preserve"> (default: 15 minutes) during which threshold breaches are recorded but do not initiate the scoring procedure. Additionally, a migration is only executed if the target provider's composite score exceeds the current provider's score by a minimum improvement margin δ (default: 10%), expressed as:</w:t>
      </w:r>
    </w:p>
    <w:p w14:paraId="1E2994E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lastRenderedPageBreak/>
        <w:t xml:space="preserve">Migrate = TRUE   </w:t>
      </w:r>
      <w:proofErr w:type="spellStart"/>
      <w:r w:rsidRPr="00127A76">
        <w:rPr>
          <w:rFonts w:ascii="Times New Roman" w:eastAsia="Times New Roman" w:hAnsi="Times New Roman" w:cs="Times New Roman"/>
          <w:b/>
          <w:bCs/>
          <w:color w:val="000000" w:themeColor="text1"/>
          <w:sz w:val="22"/>
          <w:szCs w:val="22"/>
          <w:lang w:val="en-IN"/>
        </w:rPr>
        <w:t>iff</w:t>
      </w:r>
      <w:proofErr w:type="spellEnd"/>
      <w:r w:rsidRPr="00127A76">
        <w:rPr>
          <w:rFonts w:ascii="Times New Roman" w:eastAsia="Times New Roman" w:hAnsi="Times New Roman" w:cs="Times New Roman"/>
          <w:b/>
          <w:bCs/>
          <w:color w:val="000000" w:themeColor="text1"/>
          <w:sz w:val="22"/>
          <w:szCs w:val="22"/>
          <w:lang w:val="en-IN"/>
        </w:rPr>
        <w:t xml:space="preserve">   Score(target) &lt; Score(current) × (1 - δ)</w:t>
      </w:r>
    </w:p>
    <w:p w14:paraId="3C428EB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Note that a lower composite score indicates a more </w:t>
      </w:r>
      <w:proofErr w:type="spellStart"/>
      <w:r w:rsidRPr="00127A76">
        <w:rPr>
          <w:rFonts w:ascii="Times New Roman" w:eastAsia="Times New Roman" w:hAnsi="Times New Roman" w:cs="Times New Roman"/>
          <w:color w:val="000000" w:themeColor="text1"/>
          <w:sz w:val="22"/>
          <w:szCs w:val="22"/>
          <w:lang w:val="en-IN"/>
        </w:rPr>
        <w:t>favorable</w:t>
      </w:r>
      <w:proofErr w:type="spellEnd"/>
      <w:r w:rsidRPr="00127A76">
        <w:rPr>
          <w:rFonts w:ascii="Times New Roman" w:eastAsia="Times New Roman" w:hAnsi="Times New Roman" w:cs="Times New Roman"/>
          <w:color w:val="000000" w:themeColor="text1"/>
          <w:sz w:val="22"/>
          <w:szCs w:val="22"/>
          <w:lang w:val="en-IN"/>
        </w:rPr>
        <w:t xml:space="preserve"> provider, as the scoring function defined in Section 4.4 assigns lower values to providers with reduced cost, latency, and performance degradation.</w:t>
      </w:r>
    </w:p>
    <w:p w14:paraId="606963F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462D972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4.4 Phase 3: Multi-Criteria Cloud Selection</w:t>
      </w:r>
    </w:p>
    <w:p w14:paraId="5E0CC6D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Upon receiving a migration trigger from Phase 2, the Smart Decision Engine executes a formal multi-criteria evaluation across all registered cloud providers to identify the optimal migration target. This phase extends the weighted scoring function introduced in Section 3.2.2 with a complete algorithmic specification, normalization procedure, and constraint filtering logic.</w:t>
      </w:r>
    </w:p>
    <w:p w14:paraId="2B35738F"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4.4.1 Decision Parameter Specification</w:t>
      </w:r>
    </w:p>
    <w:p w14:paraId="3C9F1109"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evaluation model considers five decision parameters for each candidate cloud provider i:</w:t>
      </w:r>
    </w:p>
    <w:p w14:paraId="3D5D692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w:t>
      </w:r>
      <w:proofErr w:type="spellStart"/>
      <w:r w:rsidRPr="00127A76">
        <w:rPr>
          <w:rFonts w:ascii="Times New Roman" w:eastAsia="Times New Roman" w:hAnsi="Times New Roman" w:cs="Times New Roman"/>
          <w:color w:val="000000" w:themeColor="text1"/>
          <w:sz w:val="22"/>
          <w:szCs w:val="22"/>
          <w:lang w:val="en-IN"/>
        </w:rPr>
        <w:t>C_i</w:t>
      </w:r>
      <w:proofErr w:type="spellEnd"/>
      <w:r w:rsidRPr="00127A76">
        <w:rPr>
          <w:rFonts w:ascii="Times New Roman" w:eastAsia="Times New Roman" w:hAnsi="Times New Roman" w:cs="Times New Roman"/>
          <w:color w:val="000000" w:themeColor="text1"/>
          <w:sz w:val="22"/>
          <w:szCs w:val="22"/>
          <w:lang w:val="en-IN"/>
        </w:rPr>
        <w:t xml:space="preserve"> — Normalized hourly operational cost for the workload's resource profile on provider </w:t>
      </w:r>
      <w:proofErr w:type="spellStart"/>
      <w:r w:rsidRPr="00127A76">
        <w:rPr>
          <w:rFonts w:ascii="Times New Roman" w:eastAsia="Times New Roman" w:hAnsi="Times New Roman" w:cs="Times New Roman"/>
          <w:color w:val="000000" w:themeColor="text1"/>
          <w:sz w:val="22"/>
          <w:szCs w:val="22"/>
          <w:lang w:val="en-IN"/>
        </w:rPr>
        <w:t>i</w:t>
      </w:r>
      <w:proofErr w:type="spellEnd"/>
      <w:r w:rsidRPr="00127A76">
        <w:rPr>
          <w:rFonts w:ascii="Times New Roman" w:eastAsia="Times New Roman" w:hAnsi="Times New Roman" w:cs="Times New Roman"/>
          <w:color w:val="000000" w:themeColor="text1"/>
          <w:sz w:val="22"/>
          <w:szCs w:val="22"/>
          <w:lang w:val="en-IN"/>
        </w:rPr>
        <w:t>, derived from the provider's pricing API or Cost Explorer service.</w:t>
      </w:r>
    </w:p>
    <w:p w14:paraId="4398B432"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w:t>
      </w:r>
      <w:proofErr w:type="spellStart"/>
      <w:r w:rsidRPr="00127A76">
        <w:rPr>
          <w:rFonts w:ascii="Times New Roman" w:eastAsia="Times New Roman" w:hAnsi="Times New Roman" w:cs="Times New Roman"/>
          <w:color w:val="000000" w:themeColor="text1"/>
          <w:sz w:val="22"/>
          <w:szCs w:val="22"/>
          <w:lang w:val="en-IN"/>
        </w:rPr>
        <w:t>L_i</w:t>
      </w:r>
      <w:proofErr w:type="spellEnd"/>
      <w:r w:rsidRPr="00127A76">
        <w:rPr>
          <w:rFonts w:ascii="Times New Roman" w:eastAsia="Times New Roman" w:hAnsi="Times New Roman" w:cs="Times New Roman"/>
          <w:color w:val="000000" w:themeColor="text1"/>
          <w:sz w:val="22"/>
          <w:szCs w:val="22"/>
          <w:lang w:val="en-IN"/>
        </w:rPr>
        <w:t xml:space="preserve"> — Measured network latency in milliseconds from the primary user access region to provider i's nearest available deployment zone.</w:t>
      </w:r>
    </w:p>
    <w:p w14:paraId="5445BBA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w:t>
      </w:r>
      <w:proofErr w:type="spellStart"/>
      <w:r w:rsidRPr="00127A76">
        <w:rPr>
          <w:rFonts w:ascii="Times New Roman" w:eastAsia="Times New Roman" w:hAnsi="Times New Roman" w:cs="Times New Roman"/>
          <w:color w:val="000000" w:themeColor="text1"/>
          <w:sz w:val="22"/>
          <w:szCs w:val="22"/>
          <w:lang w:val="en-IN"/>
        </w:rPr>
        <w:t>A_i</w:t>
      </w:r>
      <w:proofErr w:type="spellEnd"/>
      <w:r w:rsidRPr="00127A76">
        <w:rPr>
          <w:rFonts w:ascii="Times New Roman" w:eastAsia="Times New Roman" w:hAnsi="Times New Roman" w:cs="Times New Roman"/>
          <w:color w:val="000000" w:themeColor="text1"/>
          <w:sz w:val="22"/>
          <w:szCs w:val="22"/>
          <w:lang w:val="en-IN"/>
        </w:rPr>
        <w:t xml:space="preserve"> — Service availability score computed as the rolling 30-day uptime percentage published by the provider's SLA documentation, adjusted by real-time health check status.</w:t>
      </w:r>
    </w:p>
    <w:p w14:paraId="123BE4AF"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w:t>
      </w:r>
      <w:proofErr w:type="spellStart"/>
      <w:r w:rsidRPr="00127A76">
        <w:rPr>
          <w:rFonts w:ascii="Times New Roman" w:eastAsia="Times New Roman" w:hAnsi="Times New Roman" w:cs="Times New Roman"/>
          <w:color w:val="000000" w:themeColor="text1"/>
          <w:sz w:val="22"/>
          <w:szCs w:val="22"/>
          <w:lang w:val="en-IN"/>
        </w:rPr>
        <w:t>P_i</w:t>
      </w:r>
      <w:proofErr w:type="spellEnd"/>
      <w:r w:rsidRPr="00127A76">
        <w:rPr>
          <w:rFonts w:ascii="Times New Roman" w:eastAsia="Times New Roman" w:hAnsi="Times New Roman" w:cs="Times New Roman"/>
          <w:color w:val="000000" w:themeColor="text1"/>
          <w:sz w:val="22"/>
          <w:szCs w:val="22"/>
          <w:lang w:val="en-IN"/>
        </w:rPr>
        <w:t xml:space="preserve"> — SLA compliance score representing the degree to which the </w:t>
      </w:r>
      <w:r w:rsidRPr="00127A76">
        <w:rPr>
          <w:rFonts w:ascii="Times New Roman" w:eastAsia="Times New Roman" w:hAnsi="Times New Roman" w:cs="Times New Roman"/>
          <w:color w:val="000000" w:themeColor="text1"/>
          <w:sz w:val="22"/>
          <w:szCs w:val="22"/>
          <w:lang w:val="en-IN"/>
        </w:rPr>
        <w:t>provider's current performance satisfies user-defined policy constraints, including data residency requirements, regulatory compliance zones, and minimum guaranteed uptime thresholds.</w:t>
      </w:r>
    </w:p>
    <w:p w14:paraId="1EC0D53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w:t>
      </w:r>
      <w:proofErr w:type="spellStart"/>
      <w:r w:rsidRPr="00127A76">
        <w:rPr>
          <w:rFonts w:ascii="Times New Roman" w:eastAsia="Times New Roman" w:hAnsi="Times New Roman" w:cs="Times New Roman"/>
          <w:color w:val="000000" w:themeColor="text1"/>
          <w:sz w:val="22"/>
          <w:szCs w:val="22"/>
          <w:lang w:val="en-IN"/>
        </w:rPr>
        <w:t>R_i</w:t>
      </w:r>
      <w:proofErr w:type="spellEnd"/>
      <w:r w:rsidRPr="00127A76">
        <w:rPr>
          <w:rFonts w:ascii="Times New Roman" w:eastAsia="Times New Roman" w:hAnsi="Times New Roman" w:cs="Times New Roman"/>
          <w:color w:val="000000" w:themeColor="text1"/>
          <w:sz w:val="22"/>
          <w:szCs w:val="22"/>
          <w:lang w:val="en-IN"/>
        </w:rPr>
        <w:t xml:space="preserve"> — Resource availability index reflecting the current capacity headroom on the target provider, estimated from publicly available capacity signals and the provider's resource scheduling API.</w:t>
      </w:r>
    </w:p>
    <w:p w14:paraId="66C01E9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2944FC5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4.4.2 Normalization Procedure</w:t>
      </w:r>
    </w:p>
    <w:p w14:paraId="569192B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Because each parameter is measured in a different unit and scale, raw values are normalized to a common [0, 1] range using min-max normalization across the set of N candidate providers before scoring. For parameters where a lower value is preferable (cost, latency):</w:t>
      </w:r>
    </w:p>
    <w:p w14:paraId="29B71D2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norm(</w:t>
      </w:r>
      <w:proofErr w:type="spellStart"/>
      <w:r w:rsidRPr="00127A76">
        <w:rPr>
          <w:rFonts w:ascii="Times New Roman" w:eastAsia="Times New Roman" w:hAnsi="Times New Roman" w:cs="Times New Roman"/>
          <w:b/>
          <w:bCs/>
          <w:color w:val="000000" w:themeColor="text1"/>
          <w:sz w:val="22"/>
          <w:szCs w:val="22"/>
          <w:lang w:val="en-IN"/>
        </w:rPr>
        <w:t>X_i</w:t>
      </w:r>
      <w:proofErr w:type="spellEnd"/>
      <w:r w:rsidRPr="00127A76">
        <w:rPr>
          <w:rFonts w:ascii="Times New Roman" w:eastAsia="Times New Roman" w:hAnsi="Times New Roman" w:cs="Times New Roman"/>
          <w:b/>
          <w:bCs/>
          <w:color w:val="000000" w:themeColor="text1"/>
          <w:sz w:val="22"/>
          <w:szCs w:val="22"/>
          <w:lang w:val="en-IN"/>
        </w:rPr>
        <w:t>) = (</w:t>
      </w:r>
      <w:proofErr w:type="spellStart"/>
      <w:r w:rsidRPr="00127A76">
        <w:rPr>
          <w:rFonts w:ascii="Times New Roman" w:eastAsia="Times New Roman" w:hAnsi="Times New Roman" w:cs="Times New Roman"/>
          <w:b/>
          <w:bCs/>
          <w:color w:val="000000" w:themeColor="text1"/>
          <w:sz w:val="22"/>
          <w:szCs w:val="22"/>
          <w:lang w:val="en-IN"/>
        </w:rPr>
        <w:t>X_i</w:t>
      </w:r>
      <w:proofErr w:type="spellEnd"/>
      <w:r w:rsidRPr="00127A76">
        <w:rPr>
          <w:rFonts w:ascii="Times New Roman" w:eastAsia="Times New Roman" w:hAnsi="Times New Roman" w:cs="Times New Roman"/>
          <w:b/>
          <w:bCs/>
          <w:color w:val="000000" w:themeColor="text1"/>
          <w:sz w:val="22"/>
          <w:szCs w:val="22"/>
          <w:lang w:val="en-IN"/>
        </w:rPr>
        <w:t xml:space="preserve"> - </w:t>
      </w:r>
      <w:proofErr w:type="spellStart"/>
      <w:r w:rsidRPr="00127A76">
        <w:rPr>
          <w:rFonts w:ascii="Times New Roman" w:eastAsia="Times New Roman" w:hAnsi="Times New Roman" w:cs="Times New Roman"/>
          <w:b/>
          <w:bCs/>
          <w:color w:val="000000" w:themeColor="text1"/>
          <w:sz w:val="22"/>
          <w:szCs w:val="22"/>
          <w:lang w:val="en-IN"/>
        </w:rPr>
        <w:t>X_min</w:t>
      </w:r>
      <w:proofErr w:type="spellEnd"/>
      <w:r w:rsidRPr="00127A76">
        <w:rPr>
          <w:rFonts w:ascii="Times New Roman" w:eastAsia="Times New Roman" w:hAnsi="Times New Roman" w:cs="Times New Roman"/>
          <w:b/>
          <w:bCs/>
          <w:color w:val="000000" w:themeColor="text1"/>
          <w:sz w:val="22"/>
          <w:szCs w:val="22"/>
          <w:lang w:val="en-IN"/>
        </w:rPr>
        <w:t>) / (</w:t>
      </w:r>
      <w:proofErr w:type="spellStart"/>
      <w:r w:rsidRPr="00127A76">
        <w:rPr>
          <w:rFonts w:ascii="Times New Roman" w:eastAsia="Times New Roman" w:hAnsi="Times New Roman" w:cs="Times New Roman"/>
          <w:b/>
          <w:bCs/>
          <w:color w:val="000000" w:themeColor="text1"/>
          <w:sz w:val="22"/>
          <w:szCs w:val="22"/>
          <w:lang w:val="en-IN"/>
        </w:rPr>
        <w:t>X_max</w:t>
      </w:r>
      <w:proofErr w:type="spellEnd"/>
      <w:r w:rsidRPr="00127A76">
        <w:rPr>
          <w:rFonts w:ascii="Times New Roman" w:eastAsia="Times New Roman" w:hAnsi="Times New Roman" w:cs="Times New Roman"/>
          <w:b/>
          <w:bCs/>
          <w:color w:val="000000" w:themeColor="text1"/>
          <w:sz w:val="22"/>
          <w:szCs w:val="22"/>
          <w:lang w:val="en-IN"/>
        </w:rPr>
        <w:t xml:space="preserve"> - </w:t>
      </w:r>
      <w:proofErr w:type="spellStart"/>
      <w:r w:rsidRPr="00127A76">
        <w:rPr>
          <w:rFonts w:ascii="Times New Roman" w:eastAsia="Times New Roman" w:hAnsi="Times New Roman" w:cs="Times New Roman"/>
          <w:b/>
          <w:bCs/>
          <w:color w:val="000000" w:themeColor="text1"/>
          <w:sz w:val="22"/>
          <w:szCs w:val="22"/>
          <w:lang w:val="en-IN"/>
        </w:rPr>
        <w:t>X_min</w:t>
      </w:r>
      <w:proofErr w:type="spellEnd"/>
      <w:r w:rsidRPr="00127A76">
        <w:rPr>
          <w:rFonts w:ascii="Times New Roman" w:eastAsia="Times New Roman" w:hAnsi="Times New Roman" w:cs="Times New Roman"/>
          <w:b/>
          <w:bCs/>
          <w:color w:val="000000" w:themeColor="text1"/>
          <w:sz w:val="22"/>
          <w:szCs w:val="22"/>
          <w:lang w:val="en-IN"/>
        </w:rPr>
        <w:t>)</w:t>
      </w:r>
    </w:p>
    <w:p w14:paraId="70E709E2"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For parameters where a higher value is preferable (availability, SLA compliance, resource availability):</w:t>
      </w:r>
    </w:p>
    <w:p w14:paraId="6A73085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norm(</w:t>
      </w:r>
      <w:proofErr w:type="spellStart"/>
      <w:r w:rsidRPr="00127A76">
        <w:rPr>
          <w:rFonts w:ascii="Times New Roman" w:eastAsia="Times New Roman" w:hAnsi="Times New Roman" w:cs="Times New Roman"/>
          <w:b/>
          <w:bCs/>
          <w:color w:val="000000" w:themeColor="text1"/>
          <w:sz w:val="22"/>
          <w:szCs w:val="22"/>
          <w:lang w:val="en-IN"/>
        </w:rPr>
        <w:t>X_i</w:t>
      </w:r>
      <w:proofErr w:type="spellEnd"/>
      <w:r w:rsidRPr="00127A76">
        <w:rPr>
          <w:rFonts w:ascii="Times New Roman" w:eastAsia="Times New Roman" w:hAnsi="Times New Roman" w:cs="Times New Roman"/>
          <w:b/>
          <w:bCs/>
          <w:color w:val="000000" w:themeColor="text1"/>
          <w:sz w:val="22"/>
          <w:szCs w:val="22"/>
          <w:lang w:val="en-IN"/>
        </w:rPr>
        <w:t>) = (</w:t>
      </w:r>
      <w:proofErr w:type="spellStart"/>
      <w:r w:rsidRPr="00127A76">
        <w:rPr>
          <w:rFonts w:ascii="Times New Roman" w:eastAsia="Times New Roman" w:hAnsi="Times New Roman" w:cs="Times New Roman"/>
          <w:b/>
          <w:bCs/>
          <w:color w:val="000000" w:themeColor="text1"/>
          <w:sz w:val="22"/>
          <w:szCs w:val="22"/>
          <w:lang w:val="en-IN"/>
        </w:rPr>
        <w:t>X_max</w:t>
      </w:r>
      <w:proofErr w:type="spellEnd"/>
      <w:r w:rsidRPr="00127A76">
        <w:rPr>
          <w:rFonts w:ascii="Times New Roman" w:eastAsia="Times New Roman" w:hAnsi="Times New Roman" w:cs="Times New Roman"/>
          <w:b/>
          <w:bCs/>
          <w:color w:val="000000" w:themeColor="text1"/>
          <w:sz w:val="22"/>
          <w:szCs w:val="22"/>
          <w:lang w:val="en-IN"/>
        </w:rPr>
        <w:t xml:space="preserve"> - </w:t>
      </w:r>
      <w:proofErr w:type="spellStart"/>
      <w:r w:rsidRPr="00127A76">
        <w:rPr>
          <w:rFonts w:ascii="Times New Roman" w:eastAsia="Times New Roman" w:hAnsi="Times New Roman" w:cs="Times New Roman"/>
          <w:b/>
          <w:bCs/>
          <w:color w:val="000000" w:themeColor="text1"/>
          <w:sz w:val="22"/>
          <w:szCs w:val="22"/>
          <w:lang w:val="en-IN"/>
        </w:rPr>
        <w:t>X_i</w:t>
      </w:r>
      <w:proofErr w:type="spellEnd"/>
      <w:r w:rsidRPr="00127A76">
        <w:rPr>
          <w:rFonts w:ascii="Times New Roman" w:eastAsia="Times New Roman" w:hAnsi="Times New Roman" w:cs="Times New Roman"/>
          <w:b/>
          <w:bCs/>
          <w:color w:val="000000" w:themeColor="text1"/>
          <w:sz w:val="22"/>
          <w:szCs w:val="22"/>
          <w:lang w:val="en-IN"/>
        </w:rPr>
        <w:t>) / (</w:t>
      </w:r>
      <w:proofErr w:type="spellStart"/>
      <w:r w:rsidRPr="00127A76">
        <w:rPr>
          <w:rFonts w:ascii="Times New Roman" w:eastAsia="Times New Roman" w:hAnsi="Times New Roman" w:cs="Times New Roman"/>
          <w:b/>
          <w:bCs/>
          <w:color w:val="000000" w:themeColor="text1"/>
          <w:sz w:val="22"/>
          <w:szCs w:val="22"/>
          <w:lang w:val="en-IN"/>
        </w:rPr>
        <w:t>X_max</w:t>
      </w:r>
      <w:proofErr w:type="spellEnd"/>
      <w:r w:rsidRPr="00127A76">
        <w:rPr>
          <w:rFonts w:ascii="Times New Roman" w:eastAsia="Times New Roman" w:hAnsi="Times New Roman" w:cs="Times New Roman"/>
          <w:b/>
          <w:bCs/>
          <w:color w:val="000000" w:themeColor="text1"/>
          <w:sz w:val="22"/>
          <w:szCs w:val="22"/>
          <w:lang w:val="en-IN"/>
        </w:rPr>
        <w:t xml:space="preserve"> - </w:t>
      </w:r>
      <w:proofErr w:type="spellStart"/>
      <w:r w:rsidRPr="00127A76">
        <w:rPr>
          <w:rFonts w:ascii="Times New Roman" w:eastAsia="Times New Roman" w:hAnsi="Times New Roman" w:cs="Times New Roman"/>
          <w:b/>
          <w:bCs/>
          <w:color w:val="000000" w:themeColor="text1"/>
          <w:sz w:val="22"/>
          <w:szCs w:val="22"/>
          <w:lang w:val="en-IN"/>
        </w:rPr>
        <w:t>X_min</w:t>
      </w:r>
      <w:proofErr w:type="spellEnd"/>
      <w:r w:rsidRPr="00127A76">
        <w:rPr>
          <w:rFonts w:ascii="Times New Roman" w:eastAsia="Times New Roman" w:hAnsi="Times New Roman" w:cs="Times New Roman"/>
          <w:b/>
          <w:bCs/>
          <w:color w:val="000000" w:themeColor="text1"/>
          <w:sz w:val="22"/>
          <w:szCs w:val="22"/>
          <w:lang w:val="en-IN"/>
        </w:rPr>
        <w:t>)</w:t>
      </w:r>
    </w:p>
    <w:p w14:paraId="5A1367A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This normalization ensures that a score of 0.0 always represents the most </w:t>
      </w:r>
      <w:proofErr w:type="spellStart"/>
      <w:r w:rsidRPr="00127A76">
        <w:rPr>
          <w:rFonts w:ascii="Times New Roman" w:eastAsia="Times New Roman" w:hAnsi="Times New Roman" w:cs="Times New Roman"/>
          <w:color w:val="000000" w:themeColor="text1"/>
          <w:sz w:val="22"/>
          <w:szCs w:val="22"/>
          <w:lang w:val="en-IN"/>
        </w:rPr>
        <w:t>favorable</w:t>
      </w:r>
      <w:proofErr w:type="spellEnd"/>
      <w:r w:rsidRPr="00127A76">
        <w:rPr>
          <w:rFonts w:ascii="Times New Roman" w:eastAsia="Times New Roman" w:hAnsi="Times New Roman" w:cs="Times New Roman"/>
          <w:color w:val="000000" w:themeColor="text1"/>
          <w:sz w:val="22"/>
          <w:szCs w:val="22"/>
          <w:lang w:val="en-IN"/>
        </w:rPr>
        <w:t xml:space="preserve"> value and 1.0 represents the least </w:t>
      </w:r>
      <w:proofErr w:type="spellStart"/>
      <w:r w:rsidRPr="00127A76">
        <w:rPr>
          <w:rFonts w:ascii="Times New Roman" w:eastAsia="Times New Roman" w:hAnsi="Times New Roman" w:cs="Times New Roman"/>
          <w:color w:val="000000" w:themeColor="text1"/>
          <w:sz w:val="22"/>
          <w:szCs w:val="22"/>
          <w:lang w:val="en-IN"/>
        </w:rPr>
        <w:t>favorable</w:t>
      </w:r>
      <w:proofErr w:type="spellEnd"/>
      <w:r w:rsidRPr="00127A76">
        <w:rPr>
          <w:rFonts w:ascii="Times New Roman" w:eastAsia="Times New Roman" w:hAnsi="Times New Roman" w:cs="Times New Roman"/>
          <w:color w:val="000000" w:themeColor="text1"/>
          <w:sz w:val="22"/>
          <w:szCs w:val="22"/>
          <w:lang w:val="en-IN"/>
        </w:rPr>
        <w:t>, maintaining consistent scoring semantics across all parameters.</w:t>
      </w:r>
    </w:p>
    <w:p w14:paraId="38ED547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4.4.3 Composite Scoring Function</w:t>
      </w:r>
    </w:p>
    <w:p w14:paraId="03CDD8B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composite score for each provider is computed as a weighted linear combination of normalized parameter values:</w:t>
      </w:r>
    </w:p>
    <w:p w14:paraId="0AFF672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roofErr w:type="spellStart"/>
      <w:r w:rsidRPr="00127A76">
        <w:rPr>
          <w:rFonts w:ascii="Times New Roman" w:eastAsia="Times New Roman" w:hAnsi="Times New Roman" w:cs="Times New Roman"/>
          <w:b/>
          <w:bCs/>
          <w:color w:val="000000" w:themeColor="text1"/>
          <w:sz w:val="22"/>
          <w:szCs w:val="22"/>
          <w:lang w:val="en-IN"/>
        </w:rPr>
        <w:t>Score_i</w:t>
      </w:r>
      <w:proofErr w:type="spellEnd"/>
      <w:r w:rsidRPr="00127A76">
        <w:rPr>
          <w:rFonts w:ascii="Times New Roman" w:eastAsia="Times New Roman" w:hAnsi="Times New Roman" w:cs="Times New Roman"/>
          <w:b/>
          <w:bCs/>
          <w:color w:val="000000" w:themeColor="text1"/>
          <w:sz w:val="22"/>
          <w:szCs w:val="22"/>
          <w:lang w:val="en-IN"/>
        </w:rPr>
        <w:t xml:space="preserve"> = w₁·norm(</w:t>
      </w:r>
      <w:proofErr w:type="spellStart"/>
      <w:r w:rsidRPr="00127A76">
        <w:rPr>
          <w:rFonts w:ascii="Times New Roman" w:eastAsia="Times New Roman" w:hAnsi="Times New Roman" w:cs="Times New Roman"/>
          <w:b/>
          <w:bCs/>
          <w:color w:val="000000" w:themeColor="text1"/>
          <w:sz w:val="22"/>
          <w:szCs w:val="22"/>
          <w:lang w:val="en-IN"/>
        </w:rPr>
        <w:t>C_i</w:t>
      </w:r>
      <w:proofErr w:type="spellEnd"/>
      <w:r w:rsidRPr="00127A76">
        <w:rPr>
          <w:rFonts w:ascii="Times New Roman" w:eastAsia="Times New Roman" w:hAnsi="Times New Roman" w:cs="Times New Roman"/>
          <w:b/>
          <w:bCs/>
          <w:color w:val="000000" w:themeColor="text1"/>
          <w:sz w:val="22"/>
          <w:szCs w:val="22"/>
          <w:lang w:val="en-IN"/>
        </w:rPr>
        <w:t>) + w₂·norm(</w:t>
      </w:r>
      <w:proofErr w:type="spellStart"/>
      <w:r w:rsidRPr="00127A76">
        <w:rPr>
          <w:rFonts w:ascii="Times New Roman" w:eastAsia="Times New Roman" w:hAnsi="Times New Roman" w:cs="Times New Roman"/>
          <w:b/>
          <w:bCs/>
          <w:color w:val="000000" w:themeColor="text1"/>
          <w:sz w:val="22"/>
          <w:szCs w:val="22"/>
          <w:lang w:val="en-IN"/>
        </w:rPr>
        <w:t>L_i</w:t>
      </w:r>
      <w:proofErr w:type="spellEnd"/>
      <w:r w:rsidRPr="00127A76">
        <w:rPr>
          <w:rFonts w:ascii="Times New Roman" w:eastAsia="Times New Roman" w:hAnsi="Times New Roman" w:cs="Times New Roman"/>
          <w:b/>
          <w:bCs/>
          <w:color w:val="000000" w:themeColor="text1"/>
          <w:sz w:val="22"/>
          <w:szCs w:val="22"/>
          <w:lang w:val="en-IN"/>
        </w:rPr>
        <w:t>) + w₃·norm(</w:t>
      </w:r>
      <w:proofErr w:type="spellStart"/>
      <w:r w:rsidRPr="00127A76">
        <w:rPr>
          <w:rFonts w:ascii="Times New Roman" w:eastAsia="Times New Roman" w:hAnsi="Times New Roman" w:cs="Times New Roman"/>
          <w:b/>
          <w:bCs/>
          <w:color w:val="000000" w:themeColor="text1"/>
          <w:sz w:val="22"/>
          <w:szCs w:val="22"/>
          <w:lang w:val="en-IN"/>
        </w:rPr>
        <w:t>A_i</w:t>
      </w:r>
      <w:proofErr w:type="spellEnd"/>
      <w:r w:rsidRPr="00127A76">
        <w:rPr>
          <w:rFonts w:ascii="Times New Roman" w:eastAsia="Times New Roman" w:hAnsi="Times New Roman" w:cs="Times New Roman"/>
          <w:b/>
          <w:bCs/>
          <w:color w:val="000000" w:themeColor="text1"/>
          <w:sz w:val="22"/>
          <w:szCs w:val="22"/>
          <w:lang w:val="en-IN"/>
        </w:rPr>
        <w:t>) + w₄·norm(</w:t>
      </w:r>
      <w:proofErr w:type="spellStart"/>
      <w:r w:rsidRPr="00127A76">
        <w:rPr>
          <w:rFonts w:ascii="Times New Roman" w:eastAsia="Times New Roman" w:hAnsi="Times New Roman" w:cs="Times New Roman"/>
          <w:b/>
          <w:bCs/>
          <w:color w:val="000000" w:themeColor="text1"/>
          <w:sz w:val="22"/>
          <w:szCs w:val="22"/>
          <w:lang w:val="en-IN"/>
        </w:rPr>
        <w:t>P_i</w:t>
      </w:r>
      <w:proofErr w:type="spellEnd"/>
      <w:r w:rsidRPr="00127A76">
        <w:rPr>
          <w:rFonts w:ascii="Times New Roman" w:eastAsia="Times New Roman" w:hAnsi="Times New Roman" w:cs="Times New Roman"/>
          <w:b/>
          <w:bCs/>
          <w:color w:val="000000" w:themeColor="text1"/>
          <w:sz w:val="22"/>
          <w:szCs w:val="22"/>
          <w:lang w:val="en-IN"/>
        </w:rPr>
        <w:t>) + w₅·norm(</w:t>
      </w:r>
      <w:proofErr w:type="spellStart"/>
      <w:r w:rsidRPr="00127A76">
        <w:rPr>
          <w:rFonts w:ascii="Times New Roman" w:eastAsia="Times New Roman" w:hAnsi="Times New Roman" w:cs="Times New Roman"/>
          <w:b/>
          <w:bCs/>
          <w:color w:val="000000" w:themeColor="text1"/>
          <w:sz w:val="22"/>
          <w:szCs w:val="22"/>
          <w:lang w:val="en-IN"/>
        </w:rPr>
        <w:t>R_i</w:t>
      </w:r>
      <w:proofErr w:type="spellEnd"/>
      <w:r w:rsidRPr="00127A76">
        <w:rPr>
          <w:rFonts w:ascii="Times New Roman" w:eastAsia="Times New Roman" w:hAnsi="Times New Roman" w:cs="Times New Roman"/>
          <w:b/>
          <w:bCs/>
          <w:color w:val="000000" w:themeColor="text1"/>
          <w:sz w:val="22"/>
          <w:szCs w:val="22"/>
          <w:lang w:val="en-IN"/>
        </w:rPr>
        <w:t>)</w:t>
      </w:r>
    </w:p>
    <w:p w14:paraId="032617DF"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lastRenderedPageBreak/>
        <w:t xml:space="preserve">subject to the constraint: w₁ + w₂ + w₃ + w₄ + w₅ = 1.0, where all weights </w:t>
      </w:r>
      <w:proofErr w:type="spellStart"/>
      <w:r w:rsidRPr="00127A76">
        <w:rPr>
          <w:rFonts w:ascii="Times New Roman" w:eastAsia="Times New Roman" w:hAnsi="Times New Roman" w:cs="Times New Roman"/>
          <w:color w:val="000000" w:themeColor="text1"/>
          <w:sz w:val="22"/>
          <w:szCs w:val="22"/>
          <w:lang w:val="en-IN"/>
        </w:rPr>
        <w:t>w_k</w:t>
      </w:r>
      <w:proofErr w:type="spellEnd"/>
      <w:r w:rsidRPr="00127A76">
        <w:rPr>
          <w:rFonts w:ascii="Times New Roman" w:eastAsia="Times New Roman" w:hAnsi="Times New Roman" w:cs="Times New Roman"/>
          <w:color w:val="000000" w:themeColor="text1"/>
          <w:sz w:val="22"/>
          <w:szCs w:val="22"/>
          <w:lang w:val="en-IN"/>
        </w:rPr>
        <w:t xml:space="preserve"> ≥ 0.</w:t>
      </w:r>
    </w:p>
    <w:p w14:paraId="676E766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Default weight assignments reflect the relative importance of each parameter for general-purpose production workloads:</w:t>
      </w:r>
    </w:p>
    <w:p w14:paraId="1521DC9A" w14:textId="77777777" w:rsidR="00127A76" w:rsidRDefault="00127A76" w:rsidP="00127A76">
      <w:pPr>
        <w:spacing w:before="240" w:after="240"/>
        <w:jc w:val="both"/>
        <w:rPr>
          <w:rFonts w:ascii="Times New Roman" w:eastAsia="Times New Roman" w:hAnsi="Times New Roman" w:cs="Times New Roman"/>
          <w:b/>
          <w:bCs/>
          <w:color w:val="000000" w:themeColor="text1"/>
          <w:sz w:val="22"/>
          <w:szCs w:val="22"/>
          <w:lang w:val="en-IN"/>
        </w:rPr>
        <w:sectPr w:rsidR="00127A76" w:rsidSect="00CC7876">
          <w:type w:val="continuous"/>
          <w:pgSz w:w="11906" w:h="16838"/>
          <w:pgMar w:top="1440" w:right="1440" w:bottom="1440" w:left="1440" w:header="720" w:footer="720" w:gutter="0"/>
          <w:cols w:num="2" w:space="720"/>
          <w:docGrid w:linePitch="360"/>
        </w:sectPr>
      </w:pPr>
    </w:p>
    <w:p w14:paraId="43CF24FB" w14:textId="77777777" w:rsidR="00127A76" w:rsidRDefault="00127A76" w:rsidP="00127A76">
      <w:pPr>
        <w:spacing w:before="240" w:after="240"/>
        <w:jc w:val="both"/>
        <w:rPr>
          <w:rFonts w:ascii="Times New Roman" w:eastAsia="Times New Roman" w:hAnsi="Times New Roman" w:cs="Times New Roman"/>
          <w:color w:val="000000" w:themeColor="text1"/>
          <w:sz w:val="22"/>
          <w:szCs w:val="22"/>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960"/>
        <w:gridCol w:w="1693"/>
        <w:gridCol w:w="4582"/>
      </w:tblGrid>
      <w:tr w:rsidR="00127A76" w14:paraId="455EBCBE"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294A12B" w14:textId="77777777" w:rsidR="00127A76" w:rsidRDefault="00127A76" w:rsidP="009A1966">
            <w:pPr>
              <w:jc w:val="center"/>
            </w:pPr>
            <w:r>
              <w:rPr>
                <w:rFonts w:ascii="Times New Roman" w:eastAsia="Times New Roman" w:hAnsi="Times New Roman" w:cs="Times New Roman"/>
                <w:b/>
                <w:bCs/>
                <w:sz w:val="22"/>
                <w:szCs w:val="22"/>
              </w:rPr>
              <w:t>Parameter</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AF7B941" w14:textId="77777777" w:rsidR="00127A76" w:rsidRDefault="00127A76" w:rsidP="009A1966">
            <w:pPr>
              <w:jc w:val="center"/>
            </w:pPr>
            <w:r>
              <w:rPr>
                <w:rFonts w:ascii="Times New Roman" w:eastAsia="Times New Roman" w:hAnsi="Times New Roman" w:cs="Times New Roman"/>
                <w:b/>
                <w:bCs/>
                <w:sz w:val="22"/>
                <w:szCs w:val="22"/>
              </w:rPr>
              <w:t>Symbol</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C8AA2CA" w14:textId="77777777" w:rsidR="00127A76" w:rsidRDefault="00127A76" w:rsidP="009A1966">
            <w:pPr>
              <w:jc w:val="center"/>
            </w:pPr>
            <w:r>
              <w:rPr>
                <w:rFonts w:ascii="Times New Roman" w:eastAsia="Times New Roman" w:hAnsi="Times New Roman" w:cs="Times New Roman"/>
                <w:b/>
                <w:bCs/>
                <w:sz w:val="22"/>
                <w:szCs w:val="22"/>
              </w:rPr>
              <w:t>Default Weight</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D9417B8" w14:textId="77777777" w:rsidR="00127A76" w:rsidRDefault="00127A76" w:rsidP="009A1966">
            <w:pPr>
              <w:jc w:val="center"/>
            </w:pPr>
            <w:r>
              <w:rPr>
                <w:rFonts w:ascii="Times New Roman" w:eastAsia="Times New Roman" w:hAnsi="Times New Roman" w:cs="Times New Roman"/>
                <w:b/>
                <w:bCs/>
                <w:sz w:val="22"/>
                <w:szCs w:val="22"/>
              </w:rPr>
              <w:t>Rationale</w:t>
            </w:r>
          </w:p>
        </w:tc>
      </w:tr>
      <w:tr w:rsidR="00127A76" w14:paraId="0E5F2DAE"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7BA920" w14:textId="77777777" w:rsidR="00127A76" w:rsidRDefault="00127A76" w:rsidP="009A1966">
            <w:r>
              <w:rPr>
                <w:rFonts w:ascii="Times New Roman" w:eastAsia="Times New Roman" w:hAnsi="Times New Roman" w:cs="Times New Roman"/>
                <w:sz w:val="22"/>
                <w:szCs w:val="22"/>
              </w:rPr>
              <w:t>Operational cost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14243D" w14:textId="77777777" w:rsidR="00127A76" w:rsidRDefault="00127A76" w:rsidP="009A1966">
            <w:r>
              <w:rPr>
                <w:rFonts w:ascii="Times New Roman" w:eastAsia="Times New Roman" w:hAnsi="Times New Roman" w:cs="Times New Roman"/>
                <w:sz w:val="22"/>
                <w:szCs w:val="22"/>
              </w:rPr>
              <w:t>w₁</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F1C6B" w14:textId="77777777" w:rsidR="00127A76" w:rsidRDefault="00127A76" w:rsidP="009A1966">
            <w:r>
              <w:rPr>
                <w:rFonts w:ascii="Times New Roman" w:eastAsia="Times New Roman" w:hAnsi="Times New Roman" w:cs="Times New Roman"/>
                <w:sz w:val="22"/>
                <w:szCs w:val="22"/>
              </w:rPr>
              <w:t>0.30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B1E9B2" w14:textId="77777777" w:rsidR="00127A76" w:rsidRDefault="00127A76" w:rsidP="009A1966">
            <w:r>
              <w:rPr>
                <w:rFonts w:ascii="Times New Roman" w:eastAsia="Times New Roman" w:hAnsi="Times New Roman" w:cs="Times New Roman"/>
                <w:sz w:val="22"/>
                <w:szCs w:val="22"/>
              </w:rPr>
              <w:t>Primary economic driver for migration decisions</w:t>
            </w:r>
          </w:p>
        </w:tc>
      </w:tr>
      <w:tr w:rsidR="00127A76" w14:paraId="723A5F7F"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6821C8" w14:textId="77777777" w:rsidR="00127A76" w:rsidRDefault="00127A76" w:rsidP="009A1966">
            <w:r>
              <w:rPr>
                <w:rFonts w:ascii="Times New Roman" w:eastAsia="Times New Roman" w:hAnsi="Times New Roman" w:cs="Times New Roman"/>
                <w:sz w:val="22"/>
                <w:szCs w:val="22"/>
              </w:rPr>
              <w:t>Network latency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E4F0FD" w14:textId="77777777" w:rsidR="00127A76" w:rsidRDefault="00127A76" w:rsidP="009A1966">
            <w:r>
              <w:rPr>
                <w:rFonts w:ascii="Times New Roman" w:eastAsia="Times New Roman" w:hAnsi="Times New Roman" w:cs="Times New Roman"/>
                <w:sz w:val="22"/>
                <w:szCs w:val="22"/>
              </w:rPr>
              <w:t>w₂</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FDF326" w14:textId="77777777" w:rsidR="00127A76" w:rsidRDefault="00127A76" w:rsidP="009A1966">
            <w:r>
              <w:rPr>
                <w:rFonts w:ascii="Times New Roman" w:eastAsia="Times New Roman" w:hAnsi="Times New Roman" w:cs="Times New Roman"/>
                <w:sz w:val="22"/>
                <w:szCs w:val="22"/>
              </w:rPr>
              <w:t>0.25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65DF75" w14:textId="77777777" w:rsidR="00127A76" w:rsidRDefault="00127A76" w:rsidP="009A1966">
            <w:r>
              <w:rPr>
                <w:rFonts w:ascii="Times New Roman" w:eastAsia="Times New Roman" w:hAnsi="Times New Roman" w:cs="Times New Roman"/>
                <w:sz w:val="22"/>
                <w:szCs w:val="22"/>
              </w:rPr>
              <w:t>Direct impact on user-perceived performance</w:t>
            </w:r>
          </w:p>
        </w:tc>
      </w:tr>
      <w:tr w:rsidR="00127A76" w14:paraId="2A8004C6"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6E7CBA" w14:textId="77777777" w:rsidR="00127A76" w:rsidRDefault="00127A76" w:rsidP="009A1966">
            <w:r>
              <w:rPr>
                <w:rFonts w:ascii="Times New Roman" w:eastAsia="Times New Roman" w:hAnsi="Times New Roman" w:cs="Times New Roman"/>
                <w:sz w:val="22"/>
                <w:szCs w:val="22"/>
              </w:rPr>
              <w:t>Service availability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B3D37F" w14:textId="77777777" w:rsidR="00127A76" w:rsidRDefault="00127A76" w:rsidP="009A1966">
            <w:r>
              <w:rPr>
                <w:rFonts w:ascii="Times New Roman" w:eastAsia="Times New Roman" w:hAnsi="Times New Roman" w:cs="Times New Roman"/>
                <w:sz w:val="22"/>
                <w:szCs w:val="22"/>
              </w:rPr>
              <w:t>w₃</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C58681" w14:textId="77777777" w:rsidR="00127A76" w:rsidRDefault="00127A76" w:rsidP="009A1966">
            <w:r>
              <w:rPr>
                <w:rFonts w:ascii="Times New Roman" w:eastAsia="Times New Roman" w:hAnsi="Times New Roman" w:cs="Times New Roman"/>
                <w:sz w:val="22"/>
                <w:szCs w:val="22"/>
              </w:rPr>
              <w:t>0.25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C5D4C2" w14:textId="77777777" w:rsidR="00127A76" w:rsidRDefault="00127A76" w:rsidP="009A1966">
            <w:r>
              <w:rPr>
                <w:rFonts w:ascii="Times New Roman" w:eastAsia="Times New Roman" w:hAnsi="Times New Roman" w:cs="Times New Roman"/>
                <w:sz w:val="22"/>
                <w:szCs w:val="22"/>
              </w:rPr>
              <w:t>SLA and uptime compliance requirement</w:t>
            </w:r>
          </w:p>
        </w:tc>
      </w:tr>
      <w:tr w:rsidR="00127A76" w14:paraId="47644574"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43E1CC" w14:textId="77777777" w:rsidR="00127A76" w:rsidRDefault="00127A76" w:rsidP="009A1966">
            <w:r>
              <w:rPr>
                <w:rFonts w:ascii="Times New Roman" w:eastAsia="Times New Roman" w:hAnsi="Times New Roman" w:cs="Times New Roman"/>
                <w:sz w:val="22"/>
                <w:szCs w:val="22"/>
              </w:rPr>
              <w:t>Policy / compliance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39F5A0" w14:textId="77777777" w:rsidR="00127A76" w:rsidRDefault="00127A76" w:rsidP="009A1966">
            <w:r>
              <w:rPr>
                <w:rFonts w:ascii="Times New Roman" w:eastAsia="Times New Roman" w:hAnsi="Times New Roman" w:cs="Times New Roman"/>
                <w:sz w:val="22"/>
                <w:szCs w:val="22"/>
              </w:rPr>
              <w:t>w₄</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90BC8B" w14:textId="77777777" w:rsidR="00127A76" w:rsidRDefault="00127A76" w:rsidP="009A1966">
            <w:r>
              <w:rPr>
                <w:rFonts w:ascii="Times New Roman" w:eastAsia="Times New Roman" w:hAnsi="Times New Roman" w:cs="Times New Roman"/>
                <w:sz w:val="22"/>
                <w:szCs w:val="22"/>
              </w:rPr>
              <w:t>0.10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9DC390" w14:textId="77777777" w:rsidR="00127A76" w:rsidRDefault="00127A76" w:rsidP="009A1966">
            <w:r>
              <w:rPr>
                <w:rFonts w:ascii="Times New Roman" w:eastAsia="Times New Roman" w:hAnsi="Times New Roman" w:cs="Times New Roman"/>
                <w:sz w:val="22"/>
                <w:szCs w:val="22"/>
              </w:rPr>
              <w:t>Regulatory and data residency constraints</w:t>
            </w:r>
          </w:p>
        </w:tc>
      </w:tr>
      <w:tr w:rsidR="00127A76" w14:paraId="58DEB047"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C945D2" w14:textId="77777777" w:rsidR="00127A76" w:rsidRDefault="00127A76" w:rsidP="009A1966">
            <w:r>
              <w:rPr>
                <w:rFonts w:ascii="Times New Roman" w:eastAsia="Times New Roman" w:hAnsi="Times New Roman" w:cs="Times New Roman"/>
                <w:sz w:val="22"/>
                <w:szCs w:val="22"/>
              </w:rPr>
              <w:t>Resource availability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88872C" w14:textId="77777777" w:rsidR="00127A76" w:rsidRDefault="00127A76" w:rsidP="009A1966">
            <w:r>
              <w:rPr>
                <w:rFonts w:ascii="Times New Roman" w:eastAsia="Times New Roman" w:hAnsi="Times New Roman" w:cs="Times New Roman"/>
                <w:sz w:val="22"/>
                <w:szCs w:val="22"/>
              </w:rPr>
              <w:t>w₅</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B65C75" w14:textId="77777777" w:rsidR="00127A76" w:rsidRDefault="00127A76" w:rsidP="009A1966">
            <w:r>
              <w:rPr>
                <w:rFonts w:ascii="Times New Roman" w:eastAsia="Times New Roman" w:hAnsi="Times New Roman" w:cs="Times New Roman"/>
                <w:sz w:val="22"/>
                <w:szCs w:val="22"/>
              </w:rPr>
              <w:t>0.10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05B432" w14:textId="77777777" w:rsidR="00127A76" w:rsidRDefault="00127A76" w:rsidP="009A1966">
            <w:r>
              <w:rPr>
                <w:rFonts w:ascii="Times New Roman" w:eastAsia="Times New Roman" w:hAnsi="Times New Roman" w:cs="Times New Roman"/>
                <w:sz w:val="22"/>
                <w:szCs w:val="22"/>
              </w:rPr>
              <w:t>Capacity headroom on target provider</w:t>
            </w:r>
          </w:p>
        </w:tc>
      </w:tr>
    </w:tbl>
    <w:p w14:paraId="4F18B033" w14:textId="77777777" w:rsidR="00127A76" w:rsidRDefault="00127A76" w:rsidP="00127A76">
      <w:pPr>
        <w:spacing w:before="240" w:after="240"/>
        <w:jc w:val="both"/>
        <w:rPr>
          <w:rFonts w:ascii="Times New Roman" w:eastAsia="Times New Roman" w:hAnsi="Times New Roman" w:cs="Times New Roman"/>
          <w:color w:val="000000" w:themeColor="text1"/>
          <w:sz w:val="22"/>
          <w:szCs w:val="22"/>
          <w:lang w:val="en-IN"/>
        </w:rPr>
        <w:sectPr w:rsidR="00127A76" w:rsidSect="00127A76">
          <w:type w:val="continuous"/>
          <w:pgSz w:w="11906" w:h="16838"/>
          <w:pgMar w:top="1440" w:right="1440" w:bottom="1440" w:left="1440" w:header="720" w:footer="720" w:gutter="0"/>
          <w:cols w:space="720"/>
          <w:docGrid w:linePitch="360"/>
        </w:sectPr>
      </w:pPr>
    </w:p>
    <w:p w14:paraId="7FF59BD6" w14:textId="77777777" w:rsidR="00127A76" w:rsidRPr="00127A76" w:rsidRDefault="00127A76" w:rsidP="00127A76">
      <w:pPr>
        <w:spacing w:before="240" w:after="240"/>
        <w:jc w:val="both"/>
        <w:rPr>
          <w:rFonts w:ascii="Times New Roman" w:eastAsia="Times New Roman" w:hAnsi="Times New Roman" w:cs="Times New Roman"/>
          <w:color w:val="000000" w:themeColor="text1"/>
          <w:sz w:val="22"/>
          <w:szCs w:val="22"/>
          <w:lang w:val="en-IN"/>
        </w:rPr>
      </w:pPr>
    </w:p>
    <w:p w14:paraId="0C686A50"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Weights are configurable per workload through user-defined policy preferences, enabling organizations to prioritize cost minimization, latency sensitivity, or compliance adherence depending on the specific workload characteristics and business requirements.</w:t>
      </w:r>
    </w:p>
    <w:p w14:paraId="1CC3456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4.4.4 Constraint Filtering and Provider Elimination</w:t>
      </w:r>
    </w:p>
    <w:p w14:paraId="0A4B093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Prior to scoring, the candidate provider set undergoes constraint filtering to eliminate providers that fail mandatory hard constraints. A provider </w:t>
      </w:r>
      <w:proofErr w:type="spellStart"/>
      <w:r w:rsidRPr="00127A76">
        <w:rPr>
          <w:rFonts w:ascii="Times New Roman" w:eastAsia="Times New Roman" w:hAnsi="Times New Roman" w:cs="Times New Roman"/>
          <w:color w:val="000000" w:themeColor="text1"/>
          <w:sz w:val="22"/>
          <w:szCs w:val="22"/>
          <w:lang w:val="en-IN"/>
        </w:rPr>
        <w:t>i</w:t>
      </w:r>
      <w:proofErr w:type="spellEnd"/>
      <w:r w:rsidRPr="00127A76">
        <w:rPr>
          <w:rFonts w:ascii="Times New Roman" w:eastAsia="Times New Roman" w:hAnsi="Times New Roman" w:cs="Times New Roman"/>
          <w:color w:val="000000" w:themeColor="text1"/>
          <w:sz w:val="22"/>
          <w:szCs w:val="22"/>
          <w:lang w:val="en-IN"/>
        </w:rPr>
        <w:t xml:space="preserve"> is removed from consideration if any of the following conditions hold:</w:t>
      </w:r>
    </w:p>
    <w:p w14:paraId="7BAD59A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The provider's current health check status reports a failure, indicating active service disruption.</w:t>
      </w:r>
    </w:p>
    <w:p w14:paraId="4455FB6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The provider's geographic deployment zones do not satisfy data residency requirements specified in the workload's policy profile.</w:t>
      </w:r>
    </w:p>
    <w:p w14:paraId="319A185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The provider's resource availability index </w:t>
      </w:r>
      <w:proofErr w:type="spellStart"/>
      <w:r w:rsidRPr="00127A76">
        <w:rPr>
          <w:rFonts w:ascii="Times New Roman" w:eastAsia="Times New Roman" w:hAnsi="Times New Roman" w:cs="Times New Roman"/>
          <w:color w:val="000000" w:themeColor="text1"/>
          <w:sz w:val="22"/>
          <w:szCs w:val="22"/>
          <w:lang w:val="en-IN"/>
        </w:rPr>
        <w:t>R_i</w:t>
      </w:r>
      <w:proofErr w:type="spellEnd"/>
      <w:r w:rsidRPr="00127A76">
        <w:rPr>
          <w:rFonts w:ascii="Times New Roman" w:eastAsia="Times New Roman" w:hAnsi="Times New Roman" w:cs="Times New Roman"/>
          <w:color w:val="000000" w:themeColor="text1"/>
          <w:sz w:val="22"/>
          <w:szCs w:val="22"/>
          <w:lang w:val="en-IN"/>
        </w:rPr>
        <w:t xml:space="preserve"> falls below a minimum viable threshold, indicating insufficient capacity to accept the workload.</w:t>
      </w:r>
    </w:p>
    <w:p w14:paraId="7FA4F32F"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The provider is identical to the current active provider, preventing unnecessary self-migration when no alternative is available.</w:t>
      </w:r>
    </w:p>
    <w:p w14:paraId="76123EA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34FA216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If all alternative providers are eliminated by constraint filtering, the system logs the event, suppresses the migration trigger, and re-enters the monitoring phase. The migration target selection algorithm is formally described in Algorithm 1.</w:t>
      </w:r>
    </w:p>
    <w:p w14:paraId="35CE5537"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sectPr w:rsidR="00127A76" w:rsidSect="00127A76">
          <w:type w:val="continuous"/>
          <w:pgSz w:w="11906" w:h="16838"/>
          <w:pgMar w:top="1440" w:right="1440" w:bottom="1440" w:left="1440" w:header="720" w:footer="720" w:gutter="0"/>
          <w:cols w:num="2" w:space="720"/>
          <w:docGrid w:linePitch="360"/>
        </w:sectPr>
      </w:pPr>
    </w:p>
    <w:p w14:paraId="7AE1123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278483A0"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Algorithm 1: Multi-Criteria Cloud Provider Selection</w:t>
      </w:r>
    </w:p>
    <w:p w14:paraId="53811301" w14:textId="7F9C9A09" w:rsidR="00127A76" w:rsidRDefault="00127A76" w:rsidP="00127A76">
      <w:pPr>
        <w:pBdr>
          <w:top w:val="single" w:sz="4" w:space="0" w:color="AAAAAA"/>
          <w:left w:val="single" w:sz="4" w:space="0" w:color="AAAAAA"/>
          <w:bottom w:val="single" w:sz="4" w:space="0" w:color="AAAAAA"/>
          <w:right w:val="single" w:sz="4" w:space="0" w:color="AAAAAA"/>
        </w:pBdr>
        <w:shd w:val="clear" w:color="auto" w:fill="F5F5F5"/>
        <w:spacing w:before="80" w:after="80"/>
        <w:ind w:left="360"/>
      </w:pPr>
      <w:r>
        <w:rPr>
          <w:rFonts w:ascii="Courier New" w:eastAsia="Courier New" w:hAnsi="Courier New" w:cs="Courier New"/>
          <w:sz w:val="22"/>
          <w:szCs w:val="22"/>
        </w:rPr>
        <w:lastRenderedPageBreak/>
        <w:t>INPUT:  Providers P = {p</w:t>
      </w:r>
      <w:r>
        <w:rPr>
          <w:rFonts w:ascii="Cambria Math" w:eastAsia="Courier New" w:hAnsi="Cambria Math" w:cs="Cambria Math"/>
          <w:sz w:val="22"/>
          <w:szCs w:val="22"/>
        </w:rPr>
        <w:t>₁</w:t>
      </w:r>
      <w:r>
        <w:rPr>
          <w:rFonts w:ascii="Courier New" w:eastAsia="Courier New" w:hAnsi="Courier New" w:cs="Courier New"/>
          <w:sz w:val="22"/>
          <w:szCs w:val="22"/>
        </w:rPr>
        <w:t>, p</w:t>
      </w:r>
      <w:r>
        <w:rPr>
          <w:rFonts w:ascii="Cambria Math" w:eastAsia="Courier New" w:hAnsi="Cambria Math" w:cs="Cambria Math"/>
          <w:sz w:val="22"/>
          <w:szCs w:val="22"/>
        </w:rPr>
        <w:t>₂</w:t>
      </w:r>
      <w:r>
        <w:rPr>
          <w:rFonts w:ascii="Courier New" w:eastAsia="Courier New" w:hAnsi="Courier New" w:cs="Courier New"/>
          <w:sz w:val="22"/>
          <w:szCs w:val="22"/>
        </w:rPr>
        <w:t>, ..., p</w:t>
      </w:r>
      <w:r>
        <w:rPr>
          <w:rFonts w:ascii="Cambria Math" w:eastAsia="Courier New" w:hAnsi="Cambria Math" w:cs="Cambria Math"/>
          <w:sz w:val="22"/>
          <w:szCs w:val="22"/>
        </w:rPr>
        <w:t>ₙ</w:t>
      </w:r>
      <w:r>
        <w:rPr>
          <w:rFonts w:ascii="Courier New" w:eastAsia="Courier New" w:hAnsi="Courier New" w:cs="Courier New"/>
          <w:sz w:val="22"/>
          <w:szCs w:val="22"/>
        </w:rPr>
        <w:t xml:space="preserve">}, current provider </w:t>
      </w:r>
      <w:proofErr w:type="spellStart"/>
      <w:r>
        <w:rPr>
          <w:rFonts w:ascii="Courier New" w:eastAsia="Courier New" w:hAnsi="Courier New" w:cs="Courier New"/>
          <w:sz w:val="22"/>
          <w:szCs w:val="22"/>
        </w:rPr>
        <w:t>p_curr</w:t>
      </w:r>
      <w:proofErr w:type="spellEnd"/>
      <w:r>
        <w:rPr>
          <w:rFonts w:ascii="Courier New" w:eastAsia="Courier New" w:hAnsi="Courier New" w:cs="Courier New"/>
          <w:sz w:val="22"/>
          <w:szCs w:val="22"/>
        </w:rPr>
        <w:t xml:space="preserve">         Metrics M = {C, L, A, </w:t>
      </w:r>
      <w:proofErr w:type="spellStart"/>
      <w:r>
        <w:rPr>
          <w:rFonts w:ascii="Courier New" w:eastAsia="Courier New" w:hAnsi="Courier New" w:cs="Courier New"/>
          <w:sz w:val="22"/>
          <w:szCs w:val="22"/>
        </w:rPr>
        <w:t>P_sla</w:t>
      </w:r>
      <w:proofErr w:type="spellEnd"/>
      <w:r>
        <w:rPr>
          <w:rFonts w:ascii="Courier New" w:eastAsia="Courier New" w:hAnsi="Courier New" w:cs="Courier New"/>
          <w:sz w:val="22"/>
          <w:szCs w:val="22"/>
        </w:rPr>
        <w:t>, R} for each provider         Weights W = {w</w:t>
      </w:r>
      <w:r>
        <w:rPr>
          <w:rFonts w:ascii="Cambria Math" w:eastAsia="Courier New" w:hAnsi="Cambria Math" w:cs="Cambria Math"/>
          <w:sz w:val="22"/>
          <w:szCs w:val="22"/>
        </w:rPr>
        <w:t>₁</w:t>
      </w:r>
      <w:r>
        <w:rPr>
          <w:rFonts w:ascii="Courier New" w:eastAsia="Courier New" w:hAnsi="Courier New" w:cs="Courier New"/>
          <w:sz w:val="22"/>
          <w:szCs w:val="22"/>
        </w:rPr>
        <w:t>, w</w:t>
      </w:r>
      <w:r>
        <w:rPr>
          <w:rFonts w:ascii="Cambria Math" w:eastAsia="Courier New" w:hAnsi="Cambria Math" w:cs="Cambria Math"/>
          <w:sz w:val="22"/>
          <w:szCs w:val="22"/>
        </w:rPr>
        <w:t>₂</w:t>
      </w:r>
      <w:r>
        <w:rPr>
          <w:rFonts w:ascii="Courier New" w:eastAsia="Courier New" w:hAnsi="Courier New" w:cs="Courier New"/>
          <w:sz w:val="22"/>
          <w:szCs w:val="22"/>
        </w:rPr>
        <w:t>, w</w:t>
      </w:r>
      <w:r>
        <w:rPr>
          <w:rFonts w:ascii="Cambria Math" w:eastAsia="Courier New" w:hAnsi="Cambria Math" w:cs="Cambria Math"/>
          <w:sz w:val="22"/>
          <w:szCs w:val="22"/>
        </w:rPr>
        <w:t>₃</w:t>
      </w:r>
      <w:r>
        <w:rPr>
          <w:rFonts w:ascii="Courier New" w:eastAsia="Courier New" w:hAnsi="Courier New" w:cs="Courier New"/>
          <w:sz w:val="22"/>
          <w:szCs w:val="22"/>
        </w:rPr>
        <w:t>, w</w:t>
      </w:r>
      <w:r>
        <w:rPr>
          <w:rFonts w:ascii="Cambria Math" w:eastAsia="Courier New" w:hAnsi="Cambria Math" w:cs="Cambria Math"/>
          <w:sz w:val="22"/>
          <w:szCs w:val="22"/>
        </w:rPr>
        <w:t>₄</w:t>
      </w:r>
      <w:r>
        <w:rPr>
          <w:rFonts w:ascii="Courier New" w:eastAsia="Courier New" w:hAnsi="Courier New" w:cs="Courier New"/>
          <w:sz w:val="22"/>
          <w:szCs w:val="22"/>
        </w:rPr>
        <w:t>, w</w:t>
      </w:r>
      <w:r>
        <w:rPr>
          <w:rFonts w:ascii="Cambria Math" w:eastAsia="Courier New" w:hAnsi="Cambria Math" w:cs="Cambria Math"/>
          <w:sz w:val="22"/>
          <w:szCs w:val="22"/>
        </w:rPr>
        <w:t>₅</w:t>
      </w:r>
      <w:r>
        <w:rPr>
          <w:rFonts w:ascii="Courier New" w:eastAsia="Courier New" w:hAnsi="Courier New" w:cs="Courier New"/>
          <w:sz w:val="22"/>
          <w:szCs w:val="22"/>
        </w:rPr>
        <w:t xml:space="preserve">}, threshold δ OUTPUT: Selected target provider </w:t>
      </w:r>
      <w:proofErr w:type="spellStart"/>
      <w:r>
        <w:rPr>
          <w:rFonts w:ascii="Courier New" w:eastAsia="Courier New" w:hAnsi="Courier New" w:cs="Courier New"/>
          <w:sz w:val="22"/>
          <w:szCs w:val="22"/>
        </w:rPr>
        <w:t>p_target</w:t>
      </w:r>
      <w:proofErr w:type="spellEnd"/>
      <w:r>
        <w:rPr>
          <w:rFonts w:ascii="Courier New" w:eastAsia="Courier New" w:hAnsi="Courier New" w:cs="Courier New"/>
          <w:sz w:val="22"/>
          <w:szCs w:val="22"/>
        </w:rPr>
        <w:t xml:space="preserve"> or NULL  1.  candidates ← {pᵢ </w:t>
      </w:r>
      <w:r>
        <w:rPr>
          <w:rFonts w:ascii="Cambria Math" w:eastAsia="Courier New" w:hAnsi="Cambria Math" w:cs="Cambria Math"/>
          <w:sz w:val="22"/>
          <w:szCs w:val="22"/>
        </w:rPr>
        <w:t>∈</w:t>
      </w:r>
      <w:r>
        <w:rPr>
          <w:rFonts w:ascii="Courier New" w:eastAsia="Courier New" w:hAnsi="Courier New" w:cs="Courier New"/>
          <w:sz w:val="22"/>
          <w:szCs w:val="22"/>
        </w:rPr>
        <w:t xml:space="preserve"> P | pᵢ ≠ </w:t>
      </w:r>
      <w:proofErr w:type="spellStart"/>
      <w:r>
        <w:rPr>
          <w:rFonts w:ascii="Courier New" w:eastAsia="Courier New" w:hAnsi="Courier New" w:cs="Courier New"/>
          <w:sz w:val="22"/>
          <w:szCs w:val="22"/>
        </w:rPr>
        <w:t>p_curr</w:t>
      </w:r>
      <w:proofErr w:type="spellEnd"/>
      <w:r>
        <w:rPr>
          <w:rFonts w:ascii="Courier New" w:eastAsia="Courier New" w:hAnsi="Courier New" w:cs="Courier New"/>
          <w:sz w:val="22"/>
          <w:szCs w:val="22"/>
        </w:rPr>
        <w:t xml:space="preserve"> AND health(pᵢ) = OK                          AND residency(pᵢ) = COMPLIANT                          AND </w:t>
      </w:r>
      <w:proofErr w:type="spellStart"/>
      <w:r>
        <w:rPr>
          <w:rFonts w:ascii="Courier New" w:eastAsia="Courier New" w:hAnsi="Courier New" w:cs="Courier New"/>
          <w:sz w:val="22"/>
          <w:szCs w:val="22"/>
        </w:rPr>
        <w:t>R_i</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R_min</w:t>
      </w:r>
      <w:proofErr w:type="spellEnd"/>
      <w:r>
        <w:rPr>
          <w:rFonts w:ascii="Courier New" w:eastAsia="Courier New" w:hAnsi="Courier New" w:cs="Courier New"/>
          <w:sz w:val="22"/>
          <w:szCs w:val="22"/>
        </w:rPr>
        <w:t xml:space="preserve">} 2.  IF candidates = </w:t>
      </w:r>
      <w:r>
        <w:rPr>
          <w:rFonts w:ascii="Cambria Math" w:eastAsia="Courier New" w:hAnsi="Cambria Math" w:cs="Cambria Math"/>
          <w:sz w:val="22"/>
          <w:szCs w:val="22"/>
        </w:rPr>
        <w:t>∅</w:t>
      </w:r>
      <w:r>
        <w:rPr>
          <w:rFonts w:ascii="Courier New" w:eastAsia="Courier New" w:hAnsi="Courier New" w:cs="Courier New"/>
          <w:sz w:val="22"/>
          <w:szCs w:val="22"/>
        </w:rPr>
        <w:t xml:space="preserve"> THEN RETURN NULL  3.  FOR each metric m </w:t>
      </w:r>
      <w:r>
        <w:rPr>
          <w:rFonts w:ascii="Cambria Math" w:eastAsia="Courier New" w:hAnsi="Cambria Math" w:cs="Cambria Math"/>
          <w:sz w:val="22"/>
          <w:szCs w:val="22"/>
        </w:rPr>
        <w:t>∈</w:t>
      </w:r>
      <w:r>
        <w:rPr>
          <w:rFonts w:ascii="Courier New" w:eastAsia="Courier New" w:hAnsi="Courier New" w:cs="Courier New"/>
          <w:sz w:val="22"/>
          <w:szCs w:val="22"/>
        </w:rPr>
        <w:t xml:space="preserve"> {C, L, A, </w:t>
      </w:r>
      <w:proofErr w:type="spellStart"/>
      <w:r>
        <w:rPr>
          <w:rFonts w:ascii="Courier New" w:eastAsia="Courier New" w:hAnsi="Courier New" w:cs="Courier New"/>
          <w:sz w:val="22"/>
          <w:szCs w:val="22"/>
        </w:rPr>
        <w:t>P_sla</w:t>
      </w:r>
      <w:proofErr w:type="spellEnd"/>
      <w:r>
        <w:rPr>
          <w:rFonts w:ascii="Courier New" w:eastAsia="Courier New" w:hAnsi="Courier New" w:cs="Courier New"/>
          <w:sz w:val="22"/>
          <w:szCs w:val="22"/>
        </w:rPr>
        <w:t xml:space="preserve">, R}: 4.      </w:t>
      </w:r>
      <w:proofErr w:type="spellStart"/>
      <w:r>
        <w:rPr>
          <w:rFonts w:ascii="Courier New" w:eastAsia="Courier New" w:hAnsi="Courier New" w:cs="Courier New"/>
          <w:sz w:val="22"/>
          <w:szCs w:val="22"/>
        </w:rPr>
        <w:t>X_min</w:t>
      </w:r>
      <w:proofErr w:type="spellEnd"/>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min(</w:t>
      </w:r>
      <w:proofErr w:type="spellStart"/>
      <w:proofErr w:type="gramEnd"/>
      <w:r>
        <w:rPr>
          <w:rFonts w:ascii="Courier New" w:eastAsia="Courier New" w:hAnsi="Courier New" w:cs="Courier New"/>
          <w:sz w:val="22"/>
          <w:szCs w:val="22"/>
        </w:rPr>
        <w:t>m_i</w:t>
      </w:r>
      <w:proofErr w:type="spellEnd"/>
      <w:r>
        <w:rPr>
          <w:rFonts w:ascii="Courier New" w:eastAsia="Courier New" w:hAnsi="Courier New" w:cs="Courier New"/>
          <w:sz w:val="22"/>
          <w:szCs w:val="22"/>
        </w:rPr>
        <w:t xml:space="preserve"> for pᵢ </w:t>
      </w:r>
      <w:r>
        <w:rPr>
          <w:rFonts w:ascii="Cambria Math" w:eastAsia="Courier New" w:hAnsi="Cambria Math" w:cs="Cambria Math"/>
          <w:sz w:val="22"/>
          <w:szCs w:val="22"/>
        </w:rPr>
        <w:t>∈</w:t>
      </w:r>
      <w:r>
        <w:rPr>
          <w:rFonts w:ascii="Courier New" w:eastAsia="Courier New" w:hAnsi="Courier New" w:cs="Courier New"/>
          <w:sz w:val="22"/>
          <w:szCs w:val="22"/>
        </w:rPr>
        <w:t xml:space="preserve"> candidates </w:t>
      </w:r>
      <w:r>
        <w:rPr>
          <w:rFonts w:ascii="Cambria Math" w:eastAsia="Courier New" w:hAnsi="Cambria Math" w:cs="Cambria Math"/>
          <w:sz w:val="22"/>
          <w:szCs w:val="22"/>
        </w:rPr>
        <w:t>∪</w:t>
      </w: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p_curr</w:t>
      </w:r>
      <w:proofErr w:type="spellEnd"/>
      <w:r>
        <w:rPr>
          <w:rFonts w:ascii="Courier New" w:eastAsia="Courier New" w:hAnsi="Courier New" w:cs="Courier New"/>
          <w:sz w:val="22"/>
          <w:szCs w:val="22"/>
        </w:rPr>
        <w:t xml:space="preserve">}) 5.      </w:t>
      </w:r>
      <w:proofErr w:type="spellStart"/>
      <w:r>
        <w:rPr>
          <w:rFonts w:ascii="Courier New" w:eastAsia="Courier New" w:hAnsi="Courier New" w:cs="Courier New"/>
          <w:sz w:val="22"/>
          <w:szCs w:val="22"/>
        </w:rPr>
        <w:t>X_max</w:t>
      </w:r>
      <w:proofErr w:type="spellEnd"/>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max(</w:t>
      </w:r>
      <w:proofErr w:type="spellStart"/>
      <w:proofErr w:type="gramEnd"/>
      <w:r>
        <w:rPr>
          <w:rFonts w:ascii="Courier New" w:eastAsia="Courier New" w:hAnsi="Courier New" w:cs="Courier New"/>
          <w:sz w:val="22"/>
          <w:szCs w:val="22"/>
        </w:rPr>
        <w:t>m_i</w:t>
      </w:r>
      <w:proofErr w:type="spellEnd"/>
      <w:r>
        <w:rPr>
          <w:rFonts w:ascii="Courier New" w:eastAsia="Courier New" w:hAnsi="Courier New" w:cs="Courier New"/>
          <w:sz w:val="22"/>
          <w:szCs w:val="22"/>
        </w:rPr>
        <w:t xml:space="preserve"> for pᵢ </w:t>
      </w:r>
      <w:r>
        <w:rPr>
          <w:rFonts w:ascii="Cambria Math" w:eastAsia="Courier New" w:hAnsi="Cambria Math" w:cs="Cambria Math"/>
          <w:sz w:val="22"/>
          <w:szCs w:val="22"/>
        </w:rPr>
        <w:t>∈</w:t>
      </w:r>
      <w:r>
        <w:rPr>
          <w:rFonts w:ascii="Courier New" w:eastAsia="Courier New" w:hAnsi="Courier New" w:cs="Courier New"/>
          <w:sz w:val="22"/>
          <w:szCs w:val="22"/>
        </w:rPr>
        <w:t xml:space="preserve"> candidates </w:t>
      </w:r>
      <w:r>
        <w:rPr>
          <w:rFonts w:ascii="Cambria Math" w:eastAsia="Courier New" w:hAnsi="Cambria Math" w:cs="Cambria Math"/>
          <w:sz w:val="22"/>
          <w:szCs w:val="22"/>
        </w:rPr>
        <w:t>∪</w:t>
      </w: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p_curr</w:t>
      </w:r>
      <w:proofErr w:type="spellEnd"/>
      <w:r>
        <w:rPr>
          <w:rFonts w:ascii="Courier New" w:eastAsia="Courier New" w:hAnsi="Courier New" w:cs="Courier New"/>
          <w:sz w:val="22"/>
          <w:szCs w:val="22"/>
        </w:rPr>
        <w:t xml:space="preserve">}) 6.      FOR each pᵢ </w:t>
      </w:r>
      <w:r>
        <w:rPr>
          <w:rFonts w:ascii="Cambria Math" w:eastAsia="Courier New" w:hAnsi="Cambria Math" w:cs="Cambria Math"/>
          <w:sz w:val="22"/>
          <w:szCs w:val="22"/>
        </w:rPr>
        <w:t>∈</w:t>
      </w:r>
      <w:r>
        <w:rPr>
          <w:rFonts w:ascii="Courier New" w:eastAsia="Courier New" w:hAnsi="Courier New" w:cs="Courier New"/>
          <w:sz w:val="22"/>
          <w:szCs w:val="22"/>
        </w:rPr>
        <w:t xml:space="preserve"> candidates </w:t>
      </w:r>
      <w:r>
        <w:rPr>
          <w:rFonts w:ascii="Cambria Math" w:eastAsia="Courier New" w:hAnsi="Cambria Math" w:cs="Cambria Math"/>
          <w:sz w:val="22"/>
          <w:szCs w:val="22"/>
        </w:rPr>
        <w:t>∪</w:t>
      </w: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p_curr</w:t>
      </w:r>
      <w:proofErr w:type="spellEnd"/>
      <w:r>
        <w:rPr>
          <w:rFonts w:ascii="Courier New" w:eastAsia="Courier New" w:hAnsi="Courier New" w:cs="Courier New"/>
          <w:sz w:val="22"/>
          <w:szCs w:val="22"/>
        </w:rPr>
        <w:t>}: 7.          norm(</w:t>
      </w:r>
      <w:proofErr w:type="spellStart"/>
      <w:r>
        <w:rPr>
          <w:rFonts w:ascii="Courier New" w:eastAsia="Courier New" w:hAnsi="Courier New" w:cs="Courier New"/>
          <w:sz w:val="22"/>
          <w:szCs w:val="22"/>
        </w:rPr>
        <w:t>m_i</w:t>
      </w:r>
      <w:proofErr w:type="spellEnd"/>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normalize(</w:t>
      </w:r>
      <w:proofErr w:type="spellStart"/>
      <w:proofErr w:type="gramEnd"/>
      <w:r>
        <w:rPr>
          <w:rFonts w:ascii="Courier New" w:eastAsia="Courier New" w:hAnsi="Courier New" w:cs="Courier New"/>
          <w:sz w:val="22"/>
          <w:szCs w:val="22"/>
        </w:rPr>
        <w:t>m_i</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X_min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X_max</w:t>
      </w:r>
      <w:proofErr w:type="spellEnd"/>
      <w:r>
        <w:rPr>
          <w:rFonts w:ascii="Courier New" w:eastAsia="Courier New" w:hAnsi="Courier New" w:cs="Courier New"/>
          <w:sz w:val="22"/>
          <w:szCs w:val="22"/>
        </w:rPr>
        <w:t>, direction(m</w:t>
      </w:r>
      <w:proofErr w:type="gramStart"/>
      <w:r>
        <w:rPr>
          <w:rFonts w:ascii="Courier New" w:eastAsia="Courier New" w:hAnsi="Courier New" w:cs="Courier New"/>
          <w:sz w:val="22"/>
          <w:szCs w:val="22"/>
        </w:rPr>
        <w:t>))  8</w:t>
      </w:r>
      <w:proofErr w:type="gramEnd"/>
      <w:r>
        <w:rPr>
          <w:rFonts w:ascii="Courier New" w:eastAsia="Courier New" w:hAnsi="Courier New" w:cs="Courier New"/>
          <w:sz w:val="22"/>
          <w:szCs w:val="22"/>
        </w:rPr>
        <w:t xml:space="preserve">.  FOR each pᵢ </w:t>
      </w:r>
      <w:r>
        <w:rPr>
          <w:rFonts w:ascii="Cambria Math" w:eastAsia="Courier New" w:hAnsi="Cambria Math" w:cs="Cambria Math"/>
          <w:sz w:val="22"/>
          <w:szCs w:val="22"/>
        </w:rPr>
        <w:t>∈</w:t>
      </w:r>
      <w:r>
        <w:rPr>
          <w:rFonts w:ascii="Courier New" w:eastAsia="Courier New" w:hAnsi="Courier New" w:cs="Courier New"/>
          <w:sz w:val="22"/>
          <w:szCs w:val="22"/>
        </w:rPr>
        <w:t xml:space="preserve"> candidates: 9.      </w:t>
      </w:r>
      <w:proofErr w:type="spellStart"/>
      <w:r>
        <w:rPr>
          <w:rFonts w:ascii="Courier New" w:eastAsia="Courier New" w:hAnsi="Courier New" w:cs="Courier New"/>
          <w:sz w:val="22"/>
          <w:szCs w:val="22"/>
        </w:rPr>
        <w:t>Score_i</w:t>
      </w:r>
      <w:proofErr w:type="spellEnd"/>
      <w:r>
        <w:rPr>
          <w:rFonts w:ascii="Courier New" w:eastAsia="Courier New" w:hAnsi="Courier New" w:cs="Courier New"/>
          <w:sz w:val="22"/>
          <w:szCs w:val="22"/>
        </w:rPr>
        <w:t xml:space="preserve"> ← Σ </w:t>
      </w:r>
      <w:proofErr w:type="spellStart"/>
      <w:r>
        <w:rPr>
          <w:rFonts w:ascii="Courier New" w:eastAsia="Courier New" w:hAnsi="Courier New" w:cs="Courier New"/>
          <w:sz w:val="22"/>
          <w:szCs w:val="22"/>
        </w:rPr>
        <w:t>w_k</w:t>
      </w:r>
      <w:proofErr w:type="spellEnd"/>
      <w:r>
        <w:rPr>
          <w:rFonts w:ascii="Courier New" w:eastAsia="Courier New" w:hAnsi="Courier New" w:cs="Courier New"/>
          <w:sz w:val="22"/>
          <w:szCs w:val="22"/>
        </w:rPr>
        <w:t xml:space="preserve"> · norm(</w:t>
      </w:r>
      <w:proofErr w:type="spellStart"/>
      <w:r>
        <w:rPr>
          <w:rFonts w:ascii="Courier New" w:eastAsia="Courier New" w:hAnsi="Courier New" w:cs="Courier New"/>
          <w:sz w:val="22"/>
          <w:szCs w:val="22"/>
        </w:rPr>
        <w:t>metric_k_i</w:t>
      </w:r>
      <w:proofErr w:type="spellEnd"/>
      <w:r>
        <w:rPr>
          <w:rFonts w:ascii="Courier New" w:eastAsia="Courier New" w:hAnsi="Courier New" w:cs="Courier New"/>
          <w:sz w:val="22"/>
          <w:szCs w:val="22"/>
        </w:rPr>
        <w:t xml:space="preserve">)   for k </w:t>
      </w:r>
      <w:r>
        <w:rPr>
          <w:rFonts w:ascii="Cambria Math" w:eastAsia="Courier New" w:hAnsi="Cambria Math" w:cs="Cambria Math"/>
          <w:sz w:val="22"/>
          <w:szCs w:val="22"/>
        </w:rPr>
        <w:t>∈</w:t>
      </w: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1..</w:t>
      </w:r>
      <w:proofErr w:type="gramEnd"/>
      <w:r>
        <w:rPr>
          <w:rFonts w:ascii="Courier New" w:eastAsia="Courier New" w:hAnsi="Courier New" w:cs="Courier New"/>
          <w:sz w:val="22"/>
          <w:szCs w:val="22"/>
        </w:rPr>
        <w:t>5</w:t>
      </w:r>
      <w:proofErr w:type="gramStart"/>
      <w:r>
        <w:rPr>
          <w:rFonts w:ascii="Courier New" w:eastAsia="Courier New" w:hAnsi="Courier New" w:cs="Courier New"/>
          <w:sz w:val="22"/>
          <w:szCs w:val="22"/>
        </w:rPr>
        <w:t>}  10</w:t>
      </w:r>
      <w:proofErr w:type="gram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p_best</w:t>
      </w:r>
      <w:proofErr w:type="spellEnd"/>
      <w:r>
        <w:rPr>
          <w:rFonts w:ascii="Courier New" w:eastAsia="Courier New" w:hAnsi="Courier New" w:cs="Courier New"/>
          <w:sz w:val="22"/>
          <w:szCs w:val="22"/>
        </w:rPr>
        <w:t xml:space="preserve"> ← </w:t>
      </w:r>
      <w:proofErr w:type="spellStart"/>
      <w:proofErr w:type="gramStart"/>
      <w:r>
        <w:rPr>
          <w:rFonts w:ascii="Courier New" w:eastAsia="Courier New" w:hAnsi="Courier New" w:cs="Courier New"/>
          <w:sz w:val="22"/>
          <w:szCs w:val="22"/>
        </w:rPr>
        <w:t>argmin</w:t>
      </w:r>
      <w:proofErr w:type="spellEnd"/>
      <w:r>
        <w:rPr>
          <w:rFonts w:ascii="Courier New" w:eastAsia="Courier New" w:hAnsi="Courier New" w:cs="Courier New"/>
          <w:sz w:val="22"/>
          <w:szCs w:val="22"/>
        </w:rPr>
        <w:t>(</w:t>
      </w:r>
      <w:proofErr w:type="spellStart"/>
      <w:proofErr w:type="gramEnd"/>
      <w:r>
        <w:rPr>
          <w:rFonts w:ascii="Courier New" w:eastAsia="Courier New" w:hAnsi="Courier New" w:cs="Courier New"/>
          <w:sz w:val="22"/>
          <w:szCs w:val="22"/>
        </w:rPr>
        <w:t>Score_i</w:t>
      </w:r>
      <w:proofErr w:type="spellEnd"/>
      <w:r>
        <w:rPr>
          <w:rFonts w:ascii="Courier New" w:eastAsia="Courier New" w:hAnsi="Courier New" w:cs="Courier New"/>
          <w:sz w:val="22"/>
          <w:szCs w:val="22"/>
        </w:rPr>
        <w:t xml:space="preserve">) over all pᵢ </w:t>
      </w:r>
      <w:r>
        <w:rPr>
          <w:rFonts w:ascii="Cambria Math" w:eastAsia="Courier New" w:hAnsi="Cambria Math" w:cs="Cambria Math"/>
          <w:sz w:val="22"/>
          <w:szCs w:val="22"/>
        </w:rPr>
        <w:t>∈</w:t>
      </w:r>
      <w:r>
        <w:rPr>
          <w:rFonts w:ascii="Courier New" w:eastAsia="Courier New" w:hAnsi="Courier New" w:cs="Courier New"/>
          <w:sz w:val="22"/>
          <w:szCs w:val="22"/>
        </w:rPr>
        <w:t xml:space="preserve"> candidates 11. IF Score(</w:t>
      </w:r>
      <w:proofErr w:type="spellStart"/>
      <w:r>
        <w:rPr>
          <w:rFonts w:ascii="Courier New" w:eastAsia="Courier New" w:hAnsi="Courier New" w:cs="Courier New"/>
          <w:sz w:val="22"/>
          <w:szCs w:val="22"/>
        </w:rPr>
        <w:t>p_best</w:t>
      </w:r>
      <w:proofErr w:type="spellEnd"/>
      <w:r>
        <w:rPr>
          <w:rFonts w:ascii="Courier New" w:eastAsia="Courier New" w:hAnsi="Courier New" w:cs="Courier New"/>
          <w:sz w:val="22"/>
          <w:szCs w:val="22"/>
        </w:rPr>
        <w:t>) &lt; Score(</w:t>
      </w:r>
      <w:proofErr w:type="spellStart"/>
      <w:r>
        <w:rPr>
          <w:rFonts w:ascii="Courier New" w:eastAsia="Courier New" w:hAnsi="Courier New" w:cs="Courier New"/>
          <w:sz w:val="22"/>
          <w:szCs w:val="22"/>
        </w:rPr>
        <w:t>p_curr</w:t>
      </w:r>
      <w:proofErr w:type="spellEnd"/>
      <w:r>
        <w:rPr>
          <w:rFonts w:ascii="Courier New" w:eastAsia="Courier New" w:hAnsi="Courier New" w:cs="Courier New"/>
          <w:sz w:val="22"/>
          <w:szCs w:val="22"/>
        </w:rPr>
        <w:t xml:space="preserve">) × (1 - δ) THEN 12.     RETURN </w:t>
      </w:r>
      <w:proofErr w:type="spellStart"/>
      <w:r>
        <w:rPr>
          <w:rFonts w:ascii="Courier New" w:eastAsia="Courier New" w:hAnsi="Courier New" w:cs="Courier New"/>
          <w:sz w:val="22"/>
          <w:szCs w:val="22"/>
        </w:rPr>
        <w:t>p_best</w:t>
      </w:r>
      <w:proofErr w:type="spellEnd"/>
      <w:r>
        <w:rPr>
          <w:rFonts w:ascii="Courier New" w:eastAsia="Courier New" w:hAnsi="Courier New" w:cs="Courier New"/>
          <w:sz w:val="22"/>
          <w:szCs w:val="22"/>
        </w:rPr>
        <w:t xml:space="preserve"> 13. ELSE 14.     RETURN NULL   // improvement margin not satisfied</w:t>
      </w:r>
    </w:p>
    <w:p w14:paraId="0544F2D3"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47A7E1E4" w14:textId="77777777" w:rsidR="00127A76" w:rsidRDefault="00127A76" w:rsidP="00127A76">
      <w:pPr>
        <w:spacing w:before="240" w:after="240"/>
        <w:ind w:left="360"/>
        <w:jc w:val="both"/>
        <w:rPr>
          <w:rFonts w:ascii="Times New Roman" w:eastAsia="Times New Roman" w:hAnsi="Times New Roman" w:cs="Times New Roman"/>
          <w:b/>
          <w:bCs/>
          <w:color w:val="000000" w:themeColor="text1"/>
          <w:sz w:val="22"/>
          <w:szCs w:val="22"/>
          <w:lang w:val="en-IN"/>
        </w:rPr>
        <w:sectPr w:rsidR="00127A76" w:rsidSect="00127A76">
          <w:type w:val="continuous"/>
          <w:pgSz w:w="11906" w:h="16838"/>
          <w:pgMar w:top="1440" w:right="1440" w:bottom="1440" w:left="1440" w:header="720" w:footer="720" w:gutter="0"/>
          <w:cols w:space="720"/>
          <w:docGrid w:linePitch="360"/>
        </w:sectPr>
      </w:pPr>
    </w:p>
    <w:p w14:paraId="412432F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4.5 Phase 4: Migration Orchestration and Deployment</w:t>
      </w:r>
    </w:p>
    <w:p w14:paraId="24C4DF7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Upon selection of a target provider </w:t>
      </w:r>
      <w:proofErr w:type="spellStart"/>
      <w:r w:rsidRPr="00127A76">
        <w:rPr>
          <w:rFonts w:ascii="Times New Roman" w:eastAsia="Times New Roman" w:hAnsi="Times New Roman" w:cs="Times New Roman"/>
          <w:color w:val="000000" w:themeColor="text1"/>
          <w:sz w:val="22"/>
          <w:szCs w:val="22"/>
          <w:lang w:val="en-IN"/>
        </w:rPr>
        <w:t>p_target</w:t>
      </w:r>
      <w:proofErr w:type="spellEnd"/>
      <w:r w:rsidRPr="00127A76">
        <w:rPr>
          <w:rFonts w:ascii="Times New Roman" w:eastAsia="Times New Roman" w:hAnsi="Times New Roman" w:cs="Times New Roman"/>
          <w:color w:val="000000" w:themeColor="text1"/>
          <w:sz w:val="22"/>
          <w:szCs w:val="22"/>
          <w:lang w:val="en-IN"/>
        </w:rPr>
        <w:t xml:space="preserve"> by the Decision Engine, the Migration Orchestrator assumes operational control and executes the workload relocation sequence. The orchestration procedure is designed to be atomic and rollback-safe: if any step fails, the system automatically reverts to the pre-migration state without exposing end users to the failure.</w:t>
      </w:r>
    </w:p>
    <w:p w14:paraId="2FBCA920"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4.5.1 Pre-Migration Validation</w:t>
      </w:r>
    </w:p>
    <w:p w14:paraId="73B0F78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Before initiating deployment on the target cloud, the orchestrator performs a series of pre-flight validation checks:</w:t>
      </w:r>
    </w:p>
    <w:p w14:paraId="6714099F"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1. </w:t>
      </w:r>
      <w:proofErr w:type="spellStart"/>
      <w:r w:rsidRPr="00127A76">
        <w:rPr>
          <w:rFonts w:ascii="Times New Roman" w:eastAsia="Times New Roman" w:hAnsi="Times New Roman" w:cs="Times New Roman"/>
          <w:color w:val="000000" w:themeColor="text1"/>
          <w:sz w:val="22"/>
          <w:szCs w:val="22"/>
          <w:lang w:val="en-IN"/>
        </w:rPr>
        <w:t>Kubeconfig</w:t>
      </w:r>
      <w:proofErr w:type="spellEnd"/>
      <w:r w:rsidRPr="00127A76">
        <w:rPr>
          <w:rFonts w:ascii="Times New Roman" w:eastAsia="Times New Roman" w:hAnsi="Times New Roman" w:cs="Times New Roman"/>
          <w:color w:val="000000" w:themeColor="text1"/>
          <w:sz w:val="22"/>
          <w:szCs w:val="22"/>
          <w:lang w:val="en-IN"/>
        </w:rPr>
        <w:t xml:space="preserve"> context validation — the orchestrator confirms that a valid, authenticated </w:t>
      </w:r>
      <w:proofErr w:type="spellStart"/>
      <w:r w:rsidRPr="00127A76">
        <w:rPr>
          <w:rFonts w:ascii="Times New Roman" w:eastAsia="Times New Roman" w:hAnsi="Times New Roman" w:cs="Times New Roman"/>
          <w:color w:val="000000" w:themeColor="text1"/>
          <w:sz w:val="22"/>
          <w:szCs w:val="22"/>
          <w:lang w:val="en-IN"/>
        </w:rPr>
        <w:t>kubectl</w:t>
      </w:r>
      <w:proofErr w:type="spellEnd"/>
      <w:r w:rsidRPr="00127A76">
        <w:rPr>
          <w:rFonts w:ascii="Times New Roman" w:eastAsia="Times New Roman" w:hAnsi="Times New Roman" w:cs="Times New Roman"/>
          <w:color w:val="000000" w:themeColor="text1"/>
          <w:sz w:val="22"/>
          <w:szCs w:val="22"/>
          <w:lang w:val="en-IN"/>
        </w:rPr>
        <w:t xml:space="preserve"> context exists for the target cluster and that API server connectivity is established.</w:t>
      </w:r>
    </w:p>
    <w:p w14:paraId="06C1F90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2. </w:t>
      </w:r>
      <w:r w:rsidRPr="00127A76">
        <w:rPr>
          <w:rFonts w:ascii="Times New Roman" w:eastAsia="Times New Roman" w:hAnsi="Times New Roman" w:cs="Times New Roman"/>
          <w:color w:val="000000" w:themeColor="text1"/>
          <w:sz w:val="22"/>
          <w:szCs w:val="22"/>
          <w:lang w:val="en-IN"/>
        </w:rPr>
        <w:t xml:space="preserve">Container image availability — the designated image tag is verified to exist in </w:t>
      </w:r>
      <w:r w:rsidRPr="00127A76">
        <w:rPr>
          <w:rFonts w:ascii="Times New Roman" w:eastAsia="Times New Roman" w:hAnsi="Times New Roman" w:cs="Times New Roman"/>
          <w:color w:val="000000" w:themeColor="text1"/>
          <w:sz w:val="22"/>
          <w:szCs w:val="22"/>
          <w:lang w:val="en-IN"/>
        </w:rPr>
        <w:t>the container registry and is accessible from the target cloud's network environment.</w:t>
      </w:r>
    </w:p>
    <w:p w14:paraId="5A7C047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3. </w:t>
      </w:r>
      <w:r w:rsidRPr="00127A76">
        <w:rPr>
          <w:rFonts w:ascii="Times New Roman" w:eastAsia="Times New Roman" w:hAnsi="Times New Roman" w:cs="Times New Roman"/>
          <w:color w:val="000000" w:themeColor="text1"/>
          <w:sz w:val="22"/>
          <w:szCs w:val="22"/>
          <w:lang w:val="en-IN"/>
        </w:rPr>
        <w:t>Namespace and RBAC readiness — the target Kubernetes namespace exists and the service account bound to the deployment has the required permissions for resource creation.</w:t>
      </w:r>
    </w:p>
    <w:p w14:paraId="62C54C62"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4. </w:t>
      </w:r>
      <w:r w:rsidRPr="00127A76">
        <w:rPr>
          <w:rFonts w:ascii="Times New Roman" w:eastAsia="Times New Roman" w:hAnsi="Times New Roman" w:cs="Times New Roman"/>
          <w:color w:val="000000" w:themeColor="text1"/>
          <w:sz w:val="22"/>
          <w:szCs w:val="22"/>
          <w:lang w:val="en-IN"/>
        </w:rPr>
        <w:t>Resource quota check — the target cluster's available CPU and memory capacity is verified to be sufficient to accommodate the incoming workload's resource requests.</w:t>
      </w:r>
    </w:p>
    <w:p w14:paraId="46103A0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778FAE2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Failure of any pre-flight check immediately aborts the migration sequence and generates a structured log entry containing the failed validation type, the target provider identifier, and the timestamp. The trigger evaluation engine is notified and the current provider's weights in the next scoring cycle are penalized to reduce the likelihood of repeatedly selecting the same unavailable target.</w:t>
      </w:r>
    </w:p>
    <w:p w14:paraId="5E191F87"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lastRenderedPageBreak/>
        <w:t>4.5.2 Helm-Based Deployment</w:t>
      </w:r>
    </w:p>
    <w:p w14:paraId="04DB6692"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Workload deployment on the target cluster is performed using Helm, a declarative package manager for Kubernetes. The Helm chart encapsulates all deployment configuration including replica count, resource limits, environment variables, health probe definitions, and networking settings. The deployment command executes with two critical flags:</w:t>
      </w:r>
    </w:p>
    <w:p w14:paraId="6FFAB16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--wait: instructs Helm to block until all pods in the release reach the Running and Ready state, or until the timeout </w:t>
      </w:r>
      <w:proofErr w:type="spellStart"/>
      <w:r w:rsidRPr="00127A76">
        <w:rPr>
          <w:rFonts w:ascii="Times New Roman" w:eastAsia="Times New Roman" w:hAnsi="Times New Roman" w:cs="Times New Roman"/>
          <w:color w:val="000000" w:themeColor="text1"/>
          <w:sz w:val="22"/>
          <w:szCs w:val="22"/>
          <w:lang w:val="en-IN"/>
        </w:rPr>
        <w:t>T_deploy</w:t>
      </w:r>
      <w:proofErr w:type="spellEnd"/>
      <w:r w:rsidRPr="00127A76">
        <w:rPr>
          <w:rFonts w:ascii="Times New Roman" w:eastAsia="Times New Roman" w:hAnsi="Times New Roman" w:cs="Times New Roman"/>
          <w:color w:val="000000" w:themeColor="text1"/>
          <w:sz w:val="22"/>
          <w:szCs w:val="22"/>
          <w:lang w:val="en-IN"/>
        </w:rPr>
        <w:t xml:space="preserve"> (default: 300 seconds) is exceeded.</w:t>
      </w:r>
    </w:p>
    <w:p w14:paraId="7F7579E3"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--atomic: if the deployment fails or the timeout is exceeded, Helm automatically performs a rollback to the previous release, leaving the target cluster in a clean state.</w:t>
      </w:r>
    </w:p>
    <w:p w14:paraId="58D1EAD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082AC07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The deployment is parameterized by the orchestrator to set the </w:t>
      </w:r>
      <w:proofErr w:type="spellStart"/>
      <w:proofErr w:type="gramStart"/>
      <w:r w:rsidRPr="00127A76">
        <w:rPr>
          <w:rFonts w:ascii="Times New Roman" w:eastAsia="Times New Roman" w:hAnsi="Times New Roman" w:cs="Times New Roman"/>
          <w:color w:val="000000" w:themeColor="text1"/>
          <w:sz w:val="22"/>
          <w:szCs w:val="22"/>
          <w:lang w:val="en-IN"/>
        </w:rPr>
        <w:t>cloud.provider</w:t>
      </w:r>
      <w:proofErr w:type="spellEnd"/>
      <w:proofErr w:type="gramEnd"/>
      <w:r w:rsidRPr="00127A76">
        <w:rPr>
          <w:rFonts w:ascii="Times New Roman" w:eastAsia="Times New Roman" w:hAnsi="Times New Roman" w:cs="Times New Roman"/>
          <w:color w:val="000000" w:themeColor="text1"/>
          <w:sz w:val="22"/>
          <w:szCs w:val="22"/>
          <w:lang w:val="en-IN"/>
        </w:rPr>
        <w:t xml:space="preserve"> value, which is injected as an environment variable into each pod and surfaces in the /health endpoint response body. This allows the monitoring layer to confirm which cloud provider is serving traffic at any given point by inspecting health check response payloads.</w:t>
      </w:r>
    </w:p>
    <w:p w14:paraId="6B26CCA7"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4.5.3 Post-Deployment Health Verification</w:t>
      </w:r>
    </w:p>
    <w:p w14:paraId="4A8615AF"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After Helm reports a successful deployment, the orchestrator performs an independent health verification cycle before proceeding to DNS cutover. This step is distinct from the Kubernetes readiness probe and serves as an application-level confirmation that the workload is correctly processing requests — not merely that the container process has started. The verification procedure is described in Algorithm 2.</w:t>
      </w:r>
    </w:p>
    <w:p w14:paraId="0E91C98A"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sectPr w:rsidR="00127A76" w:rsidSect="00127A76">
          <w:type w:val="continuous"/>
          <w:pgSz w:w="11906" w:h="16838"/>
          <w:pgMar w:top="1440" w:right="1440" w:bottom="1440" w:left="1440" w:header="720" w:footer="720" w:gutter="0"/>
          <w:cols w:num="2" w:space="720"/>
          <w:docGrid w:linePitch="360"/>
        </w:sectPr>
      </w:pPr>
    </w:p>
    <w:p w14:paraId="14FAAD8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2E688641" w14:textId="37B610EF" w:rsidR="00127A76" w:rsidRDefault="00127A76" w:rsidP="00127A76">
      <w:pPr>
        <w:spacing w:before="160" w:after="80"/>
      </w:pPr>
      <w:r>
        <w:rPr>
          <w:rFonts w:ascii="Times New Roman" w:eastAsia="Times New Roman" w:hAnsi="Times New Roman" w:cs="Times New Roman"/>
          <w:b/>
          <w:bCs/>
          <w:i/>
          <w:iCs/>
        </w:rPr>
        <w:t xml:space="preserve">    </w:t>
      </w:r>
      <w:r>
        <w:rPr>
          <w:rFonts w:ascii="Times New Roman" w:eastAsia="Times New Roman" w:hAnsi="Times New Roman" w:cs="Times New Roman"/>
          <w:b/>
          <w:bCs/>
          <w:i/>
          <w:iCs/>
        </w:rPr>
        <w:t>Algorithm 2: Post-Deployment Health Verification</w:t>
      </w:r>
    </w:p>
    <w:p w14:paraId="7AF34021" w14:textId="77777777" w:rsidR="00127A76" w:rsidRDefault="00127A76" w:rsidP="00127A76">
      <w:pPr>
        <w:pBdr>
          <w:top w:val="single" w:sz="4" w:space="0" w:color="AAAAAA"/>
          <w:left w:val="single" w:sz="4" w:space="0" w:color="AAAAAA"/>
          <w:bottom w:val="single" w:sz="4" w:space="0" w:color="AAAAAA"/>
          <w:right w:val="single" w:sz="4" w:space="0" w:color="AAAAAA"/>
        </w:pBdr>
        <w:shd w:val="clear" w:color="auto" w:fill="F5F5F5"/>
        <w:spacing w:before="80" w:after="80"/>
        <w:ind w:left="360"/>
      </w:pPr>
      <w:r>
        <w:rPr>
          <w:rFonts w:ascii="Courier New" w:eastAsia="Courier New" w:hAnsi="Courier New" w:cs="Courier New"/>
          <w:sz w:val="22"/>
          <w:szCs w:val="22"/>
        </w:rPr>
        <w:t xml:space="preserve">INPUT:  </w:t>
      </w:r>
      <w:proofErr w:type="spellStart"/>
      <w:r>
        <w:rPr>
          <w:rFonts w:ascii="Courier New" w:eastAsia="Courier New" w:hAnsi="Courier New" w:cs="Courier New"/>
          <w:sz w:val="22"/>
          <w:szCs w:val="22"/>
        </w:rPr>
        <w:t>target_endpoint</w:t>
      </w:r>
      <w:proofErr w:type="spellEnd"/>
      <w:r>
        <w:rPr>
          <w:rFonts w:ascii="Courier New" w:eastAsia="Courier New" w:hAnsi="Courier New" w:cs="Courier New"/>
          <w:sz w:val="22"/>
          <w:szCs w:val="22"/>
        </w:rPr>
        <w:t xml:space="preserve">, timeout </w:t>
      </w:r>
      <w:proofErr w:type="spellStart"/>
      <w:r>
        <w:rPr>
          <w:rFonts w:ascii="Courier New" w:eastAsia="Courier New" w:hAnsi="Courier New" w:cs="Courier New"/>
          <w:sz w:val="22"/>
          <w:szCs w:val="22"/>
        </w:rPr>
        <w:t>T_verify</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poll_interval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Δt</w:t>
      </w:r>
      <w:proofErr w:type="spellEnd"/>
      <w:r>
        <w:rPr>
          <w:rFonts w:ascii="Courier New" w:eastAsia="Courier New" w:hAnsi="Courier New" w:cs="Courier New"/>
          <w:sz w:val="22"/>
          <w:szCs w:val="22"/>
        </w:rPr>
        <w:t xml:space="preserve"> OUTPUT: HEALTHY or UNHEALTHY  1.  deadline ← </w:t>
      </w:r>
      <w:proofErr w:type="spellStart"/>
      <w:r>
        <w:rPr>
          <w:rFonts w:ascii="Courier New" w:eastAsia="Courier New" w:hAnsi="Courier New" w:cs="Courier New"/>
          <w:sz w:val="22"/>
          <w:szCs w:val="22"/>
        </w:rPr>
        <w:t>current_</w:t>
      </w:r>
      <w:proofErr w:type="gramStart"/>
      <w:r>
        <w:rPr>
          <w:rFonts w:ascii="Courier New" w:eastAsia="Courier New" w:hAnsi="Courier New" w:cs="Courier New"/>
          <w:sz w:val="22"/>
          <w:szCs w:val="22"/>
        </w:rPr>
        <w:t>time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T_verify</w:t>
      </w:r>
      <w:proofErr w:type="spellEnd"/>
      <w:r>
        <w:rPr>
          <w:rFonts w:ascii="Courier New" w:eastAsia="Courier New" w:hAnsi="Courier New" w:cs="Courier New"/>
          <w:sz w:val="22"/>
          <w:szCs w:val="22"/>
        </w:rPr>
        <w:t xml:space="preserve"> 2.  WHILE </w:t>
      </w:r>
      <w:proofErr w:type="spellStart"/>
      <w:r>
        <w:rPr>
          <w:rFonts w:ascii="Courier New" w:eastAsia="Courier New" w:hAnsi="Courier New" w:cs="Courier New"/>
          <w:sz w:val="22"/>
          <w:szCs w:val="22"/>
        </w:rPr>
        <w:t>current_</w:t>
      </w:r>
      <w:proofErr w:type="gramStart"/>
      <w:r>
        <w:rPr>
          <w:rFonts w:ascii="Courier New" w:eastAsia="Courier New" w:hAnsi="Courier New" w:cs="Courier New"/>
          <w:sz w:val="22"/>
          <w:szCs w:val="22"/>
        </w:rPr>
        <w:t>time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&lt; deadline: 3.      response ← HTTP_</w:t>
      </w:r>
      <w:proofErr w:type="gramStart"/>
      <w:r>
        <w:rPr>
          <w:rFonts w:ascii="Courier New" w:eastAsia="Courier New" w:hAnsi="Courier New" w:cs="Courier New"/>
          <w:sz w:val="22"/>
          <w:szCs w:val="22"/>
        </w:rPr>
        <w:t>GET(</w:t>
      </w:r>
      <w:proofErr w:type="spellStart"/>
      <w:proofErr w:type="gramEnd"/>
      <w:r>
        <w:rPr>
          <w:rFonts w:ascii="Courier New" w:eastAsia="Courier New" w:hAnsi="Courier New" w:cs="Courier New"/>
          <w:sz w:val="22"/>
          <w:szCs w:val="22"/>
        </w:rPr>
        <w:t>target_endpoint</w:t>
      </w:r>
      <w:proofErr w:type="spellEnd"/>
      <w:r>
        <w:rPr>
          <w:rFonts w:ascii="Courier New" w:eastAsia="Courier New" w:hAnsi="Courier New" w:cs="Courier New"/>
          <w:sz w:val="22"/>
          <w:szCs w:val="22"/>
        </w:rPr>
        <w:t xml:space="preserve"> + '/health', timeout=5s) 4.      IF </w:t>
      </w:r>
      <w:proofErr w:type="spellStart"/>
      <w:proofErr w:type="gramStart"/>
      <w:r>
        <w:rPr>
          <w:rFonts w:ascii="Courier New" w:eastAsia="Courier New" w:hAnsi="Courier New" w:cs="Courier New"/>
          <w:sz w:val="22"/>
          <w:szCs w:val="22"/>
        </w:rPr>
        <w:t>response.status</w:t>
      </w:r>
      <w:proofErr w:type="spellEnd"/>
      <w:proofErr w:type="gramEnd"/>
      <w:r>
        <w:rPr>
          <w:rFonts w:ascii="Courier New" w:eastAsia="Courier New" w:hAnsi="Courier New" w:cs="Courier New"/>
          <w:sz w:val="22"/>
          <w:szCs w:val="22"/>
        </w:rPr>
        <w:t xml:space="preserve"> = 200 AND </w:t>
      </w:r>
      <w:proofErr w:type="spellStart"/>
      <w:proofErr w:type="gramStart"/>
      <w:r>
        <w:rPr>
          <w:rFonts w:ascii="Courier New" w:eastAsia="Courier New" w:hAnsi="Courier New" w:cs="Courier New"/>
          <w:sz w:val="22"/>
          <w:szCs w:val="22"/>
        </w:rPr>
        <w:t>response.body</w:t>
      </w:r>
      <w:proofErr w:type="gramEnd"/>
      <w:r>
        <w:rPr>
          <w:rFonts w:ascii="Courier New" w:eastAsia="Courier New" w:hAnsi="Courier New" w:cs="Courier New"/>
          <w:sz w:val="22"/>
          <w:szCs w:val="22"/>
        </w:rPr>
        <w:t>.status</w:t>
      </w:r>
      <w:proofErr w:type="spellEnd"/>
      <w:r>
        <w:rPr>
          <w:rFonts w:ascii="Courier New" w:eastAsia="Courier New" w:hAnsi="Courier New" w:cs="Courier New"/>
          <w:sz w:val="22"/>
          <w:szCs w:val="22"/>
        </w:rPr>
        <w:t xml:space="preserve"> = 'ok' THEN 5.          </w:t>
      </w:r>
      <w:proofErr w:type="spellStart"/>
      <w:r>
        <w:rPr>
          <w:rFonts w:ascii="Courier New" w:eastAsia="Courier New" w:hAnsi="Courier New" w:cs="Courier New"/>
          <w:sz w:val="22"/>
          <w:szCs w:val="22"/>
        </w:rPr>
        <w:t>consecutive_ok</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consecutive_ok</w:t>
      </w:r>
      <w:proofErr w:type="spellEnd"/>
      <w:r>
        <w:rPr>
          <w:rFonts w:ascii="Courier New" w:eastAsia="Courier New" w:hAnsi="Courier New" w:cs="Courier New"/>
          <w:sz w:val="22"/>
          <w:szCs w:val="22"/>
        </w:rPr>
        <w:t xml:space="preserve"> + 1 6.      ELSE 7.          </w:t>
      </w:r>
      <w:proofErr w:type="spellStart"/>
      <w:r>
        <w:rPr>
          <w:rFonts w:ascii="Courier New" w:eastAsia="Courier New" w:hAnsi="Courier New" w:cs="Courier New"/>
          <w:sz w:val="22"/>
          <w:szCs w:val="22"/>
        </w:rPr>
        <w:t>consecutive_ok</w:t>
      </w:r>
      <w:proofErr w:type="spellEnd"/>
      <w:r>
        <w:rPr>
          <w:rFonts w:ascii="Courier New" w:eastAsia="Courier New" w:hAnsi="Courier New" w:cs="Courier New"/>
          <w:sz w:val="22"/>
          <w:szCs w:val="22"/>
        </w:rPr>
        <w:t xml:space="preserve"> ← 0 8.      IF </w:t>
      </w:r>
      <w:proofErr w:type="spellStart"/>
      <w:r>
        <w:rPr>
          <w:rFonts w:ascii="Courier New" w:eastAsia="Courier New" w:hAnsi="Courier New" w:cs="Courier New"/>
          <w:sz w:val="22"/>
          <w:szCs w:val="22"/>
        </w:rPr>
        <w:t>consecutive_ok</w:t>
      </w:r>
      <w:proofErr w:type="spellEnd"/>
      <w:r>
        <w:rPr>
          <w:rFonts w:ascii="Courier New" w:eastAsia="Courier New" w:hAnsi="Courier New" w:cs="Courier New"/>
          <w:sz w:val="22"/>
          <w:szCs w:val="22"/>
        </w:rPr>
        <w:t xml:space="preserve"> ≥ 3 THEN 9.          RETURN HEALTHY 10.     SLEEP(</w:t>
      </w:r>
      <w:proofErr w:type="spellStart"/>
      <w:r>
        <w:rPr>
          <w:rFonts w:ascii="Courier New" w:eastAsia="Courier New" w:hAnsi="Courier New" w:cs="Courier New"/>
          <w:sz w:val="22"/>
          <w:szCs w:val="22"/>
        </w:rPr>
        <w:t>Δt</w:t>
      </w:r>
      <w:proofErr w:type="spellEnd"/>
      <w:r>
        <w:rPr>
          <w:rFonts w:ascii="Courier New" w:eastAsia="Courier New" w:hAnsi="Courier New" w:cs="Courier New"/>
          <w:sz w:val="22"/>
          <w:szCs w:val="22"/>
        </w:rPr>
        <w:t>) 11. RETURN UNHEALTHY   // timeout exceeded</w:t>
      </w:r>
    </w:p>
    <w:p w14:paraId="17F6BF1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5EB48334"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sectPr w:rsidR="00127A76" w:rsidSect="00127A76">
          <w:type w:val="continuous"/>
          <w:pgSz w:w="11906" w:h="16838"/>
          <w:pgMar w:top="1440" w:right="1440" w:bottom="1440" w:left="1440" w:header="720" w:footer="720" w:gutter="0"/>
          <w:cols w:space="720"/>
          <w:docGrid w:linePitch="360"/>
        </w:sectPr>
      </w:pPr>
    </w:p>
    <w:p w14:paraId="700DB93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Requiring three consecutive successful health check responses (</w:t>
      </w:r>
      <w:proofErr w:type="spellStart"/>
      <w:r w:rsidRPr="00127A76">
        <w:rPr>
          <w:rFonts w:ascii="Times New Roman" w:eastAsia="Times New Roman" w:hAnsi="Times New Roman" w:cs="Times New Roman"/>
          <w:color w:val="000000" w:themeColor="text1"/>
          <w:sz w:val="22"/>
          <w:szCs w:val="22"/>
          <w:lang w:val="en-IN"/>
        </w:rPr>
        <w:t>consecutive_ok</w:t>
      </w:r>
      <w:proofErr w:type="spellEnd"/>
      <w:r w:rsidRPr="00127A76">
        <w:rPr>
          <w:rFonts w:ascii="Times New Roman" w:eastAsia="Times New Roman" w:hAnsi="Times New Roman" w:cs="Times New Roman"/>
          <w:color w:val="000000" w:themeColor="text1"/>
          <w:sz w:val="22"/>
          <w:szCs w:val="22"/>
          <w:lang w:val="en-IN"/>
        </w:rPr>
        <w:t xml:space="preserve"> ≥ 3) before declaring the deployment healthy prevents false positives caused by application startup race conditions or intermittent connectivity delays between the orchestrator and the target cluster. If the verification procedure returns </w:t>
      </w:r>
      <w:r w:rsidRPr="00127A76">
        <w:rPr>
          <w:rFonts w:ascii="Times New Roman" w:eastAsia="Times New Roman" w:hAnsi="Times New Roman" w:cs="Times New Roman"/>
          <w:color w:val="000000" w:themeColor="text1"/>
          <w:sz w:val="22"/>
          <w:szCs w:val="22"/>
          <w:lang w:val="en-IN"/>
        </w:rPr>
        <w:t xml:space="preserve">UNHEALTHY, the orchestrator triggers an immediate rollback procedure and notifies the Decision Engine, which blacklists the target provider for the duration of the cooldown window </w:t>
      </w:r>
      <w:proofErr w:type="spellStart"/>
      <w:r w:rsidRPr="00127A76">
        <w:rPr>
          <w:rFonts w:ascii="Times New Roman" w:eastAsia="Times New Roman" w:hAnsi="Times New Roman" w:cs="Times New Roman"/>
          <w:color w:val="000000" w:themeColor="text1"/>
          <w:sz w:val="22"/>
          <w:szCs w:val="22"/>
          <w:lang w:val="en-IN"/>
        </w:rPr>
        <w:t>T_cool</w:t>
      </w:r>
      <w:proofErr w:type="spellEnd"/>
      <w:r w:rsidRPr="00127A76">
        <w:rPr>
          <w:rFonts w:ascii="Times New Roman" w:eastAsia="Times New Roman" w:hAnsi="Times New Roman" w:cs="Times New Roman"/>
          <w:color w:val="000000" w:themeColor="text1"/>
          <w:sz w:val="22"/>
          <w:szCs w:val="22"/>
          <w:lang w:val="en-IN"/>
        </w:rPr>
        <w:t>.</w:t>
      </w:r>
    </w:p>
    <w:p w14:paraId="5988118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5414727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lastRenderedPageBreak/>
        <w:t>4.6 Phase 5: DNS-Based Traffic Cutover and Verification</w:t>
      </w:r>
    </w:p>
    <w:p w14:paraId="2F78B2C0"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DNS cutover phase is the mechanism through which user traffic is transitioned from the source cloud provider to the verified target deployment. This phase is the most time-sensitive in the migration pipeline and its design directly addresses the service continuity research gap identified in Section 2.2.</w:t>
      </w:r>
    </w:p>
    <w:p w14:paraId="446E2FF7"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4.6.1 Low-TTL DNS Pre-Staging</w:t>
      </w:r>
    </w:p>
    <w:p w14:paraId="5232E3C2"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DNS-based traffic management strategy depends critically on the Time-To-Live (TTL) value of DNS records. As established by Bhowmick et al. (2023), recursive DNS resolvers frequently violate advertised TTL values by caching responses for longer than specified, which introduces uncertainty in the effective traffic transition window. To mitigate this, the system enforces a TTL pre-staging protocol:</w:t>
      </w:r>
    </w:p>
    <w:p w14:paraId="055858D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1. </w:t>
      </w:r>
      <w:r w:rsidRPr="00127A76">
        <w:rPr>
          <w:rFonts w:ascii="Times New Roman" w:eastAsia="Times New Roman" w:hAnsi="Times New Roman" w:cs="Times New Roman"/>
          <w:color w:val="000000" w:themeColor="text1"/>
          <w:sz w:val="22"/>
          <w:szCs w:val="22"/>
          <w:lang w:val="en-IN"/>
        </w:rPr>
        <w:t xml:space="preserve">At system initialization (during Phase 1 onboarding), all DNS records for the application domain are configured with a low TTL value of </w:t>
      </w:r>
      <w:proofErr w:type="spellStart"/>
      <w:r w:rsidRPr="00127A76">
        <w:rPr>
          <w:rFonts w:ascii="Times New Roman" w:eastAsia="Times New Roman" w:hAnsi="Times New Roman" w:cs="Times New Roman"/>
          <w:color w:val="000000" w:themeColor="text1"/>
          <w:sz w:val="22"/>
          <w:szCs w:val="22"/>
          <w:lang w:val="en-IN"/>
        </w:rPr>
        <w:t>T_ttl</w:t>
      </w:r>
      <w:proofErr w:type="spellEnd"/>
      <w:r w:rsidRPr="00127A76">
        <w:rPr>
          <w:rFonts w:ascii="Times New Roman" w:eastAsia="Times New Roman" w:hAnsi="Times New Roman" w:cs="Times New Roman"/>
          <w:color w:val="000000" w:themeColor="text1"/>
          <w:sz w:val="22"/>
          <w:szCs w:val="22"/>
          <w:lang w:val="en-IN"/>
        </w:rPr>
        <w:t xml:space="preserve"> = 30 seconds. This is performed well in advance of any migration event, ensuring that DNS caches across the resolver network have already expired their high-TTL entries before migration is needed.</w:t>
      </w:r>
    </w:p>
    <w:p w14:paraId="29547E3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2. </w:t>
      </w:r>
      <w:r w:rsidRPr="00127A76">
        <w:rPr>
          <w:rFonts w:ascii="Times New Roman" w:eastAsia="Times New Roman" w:hAnsi="Times New Roman" w:cs="Times New Roman"/>
          <w:color w:val="000000" w:themeColor="text1"/>
          <w:sz w:val="22"/>
          <w:szCs w:val="22"/>
          <w:lang w:val="en-IN"/>
        </w:rPr>
        <w:t xml:space="preserve">During active migration, this low TTL guarantees that </w:t>
      </w:r>
      <w:proofErr w:type="gramStart"/>
      <w:r w:rsidRPr="00127A76">
        <w:rPr>
          <w:rFonts w:ascii="Times New Roman" w:eastAsia="Times New Roman" w:hAnsi="Times New Roman" w:cs="Times New Roman"/>
          <w:color w:val="000000" w:themeColor="text1"/>
          <w:sz w:val="22"/>
          <w:szCs w:val="22"/>
          <w:lang w:val="en-IN"/>
        </w:rPr>
        <w:t>the majority of</w:t>
      </w:r>
      <w:proofErr w:type="gramEnd"/>
      <w:r w:rsidRPr="00127A76">
        <w:rPr>
          <w:rFonts w:ascii="Times New Roman" w:eastAsia="Times New Roman" w:hAnsi="Times New Roman" w:cs="Times New Roman"/>
          <w:color w:val="000000" w:themeColor="text1"/>
          <w:sz w:val="22"/>
          <w:szCs w:val="22"/>
          <w:lang w:val="en-IN"/>
        </w:rPr>
        <w:t xml:space="preserve"> resolvers will re-query the authoritative DNS server within 30 seconds of a record update, enabling effective traffic transition within a window of </w:t>
      </w:r>
      <w:proofErr w:type="spellStart"/>
      <w:r w:rsidRPr="00127A76">
        <w:rPr>
          <w:rFonts w:ascii="Times New Roman" w:eastAsia="Times New Roman" w:hAnsi="Times New Roman" w:cs="Times New Roman"/>
          <w:color w:val="000000" w:themeColor="text1"/>
          <w:sz w:val="22"/>
          <w:szCs w:val="22"/>
          <w:lang w:val="en-IN"/>
        </w:rPr>
        <w:t>T_ttl</w:t>
      </w:r>
      <w:proofErr w:type="spellEnd"/>
      <w:r w:rsidRPr="00127A76">
        <w:rPr>
          <w:rFonts w:ascii="Times New Roman" w:eastAsia="Times New Roman" w:hAnsi="Times New Roman" w:cs="Times New Roman"/>
          <w:color w:val="000000" w:themeColor="text1"/>
          <w:sz w:val="22"/>
          <w:szCs w:val="22"/>
          <w:lang w:val="en-IN"/>
        </w:rPr>
        <w:t xml:space="preserve"> to 2×T_ttl (30–60 seconds) in practice.</w:t>
      </w:r>
    </w:p>
    <w:p w14:paraId="297A6BC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 xml:space="preserve">3. </w:t>
      </w:r>
      <w:r w:rsidRPr="00127A76">
        <w:rPr>
          <w:rFonts w:ascii="Times New Roman" w:eastAsia="Times New Roman" w:hAnsi="Times New Roman" w:cs="Times New Roman"/>
          <w:color w:val="000000" w:themeColor="text1"/>
          <w:sz w:val="22"/>
          <w:szCs w:val="22"/>
          <w:lang w:val="en-IN"/>
        </w:rPr>
        <w:t>The system acknowledges that a minority of resolvers may violate the TTL specification and cache the old record for longer periods, as documented in the literature. The parallel deployment strategy described below ensures that the source cloud deployment remains active during this uncertainty window.</w:t>
      </w:r>
    </w:p>
    <w:p w14:paraId="588597C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181D332C"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4.6.2 Weighted DNS Transition Procedure</w:t>
      </w:r>
    </w:p>
    <w:p w14:paraId="3340CC1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DNS cutover is executed using weighted routing policies available in managed DNS services such as AWS Route 53. Rather than performing an instantaneous hard cutover from the source to the target provider — which would expose all users to any residual deployment instability — the system performs a controlled, gradual traffic shift using DNS weight manipulation.</w:t>
      </w:r>
    </w:p>
    <w:p w14:paraId="57E2758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transition procedure is described in Algorithm 3.</w:t>
      </w:r>
    </w:p>
    <w:p w14:paraId="4E1A4EB0"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sectPr w:rsidR="00127A76" w:rsidSect="00127A76">
          <w:type w:val="continuous"/>
          <w:pgSz w:w="11906" w:h="16838"/>
          <w:pgMar w:top="1440" w:right="1440" w:bottom="1440" w:left="1440" w:header="720" w:footer="720" w:gutter="0"/>
          <w:cols w:num="2" w:space="720"/>
          <w:docGrid w:linePitch="360"/>
        </w:sectPr>
      </w:pPr>
    </w:p>
    <w:p w14:paraId="25C3C0D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70EB023B" w14:textId="77777777" w:rsidR="00127A76" w:rsidRDefault="00127A76" w:rsidP="00127A76">
      <w:pPr>
        <w:spacing w:before="160" w:after="80"/>
      </w:pPr>
      <w:r>
        <w:rPr>
          <w:rFonts w:ascii="Times New Roman" w:eastAsia="Times New Roman" w:hAnsi="Times New Roman" w:cs="Times New Roman"/>
          <w:b/>
          <w:bCs/>
          <w:i/>
          <w:iCs/>
        </w:rPr>
        <w:t>Algorithm 3: DNS Traffic Cutover with Weighted Routing</w:t>
      </w:r>
    </w:p>
    <w:p w14:paraId="632D3D33" w14:textId="79941B6E" w:rsidR="00127A76" w:rsidRPr="00127A76" w:rsidRDefault="00127A76" w:rsidP="00127A76">
      <w:pPr>
        <w:pBdr>
          <w:top w:val="single" w:sz="4" w:space="0" w:color="AAAAAA"/>
          <w:left w:val="single" w:sz="4" w:space="0" w:color="AAAAAA"/>
          <w:bottom w:val="single" w:sz="4" w:space="0" w:color="AAAAAA"/>
          <w:right w:val="single" w:sz="4" w:space="0" w:color="AAAAAA"/>
        </w:pBdr>
        <w:shd w:val="clear" w:color="auto" w:fill="F5F5F5"/>
        <w:spacing w:before="80" w:after="80"/>
        <w:ind w:left="360"/>
      </w:pPr>
      <w:r>
        <w:rPr>
          <w:rFonts w:ascii="Courier New" w:eastAsia="Courier New" w:hAnsi="Courier New" w:cs="Courier New"/>
          <w:sz w:val="22"/>
          <w:szCs w:val="22"/>
        </w:rPr>
        <w:t xml:space="preserve">INPUT:  </w:t>
      </w:r>
      <w:proofErr w:type="spellStart"/>
      <w:r>
        <w:rPr>
          <w:rFonts w:ascii="Courier New" w:eastAsia="Courier New" w:hAnsi="Courier New" w:cs="Courier New"/>
          <w:sz w:val="22"/>
          <w:szCs w:val="22"/>
        </w:rPr>
        <w:t>source_provider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p_src</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target_provider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p_tgt</w:t>
      </w:r>
      <w:proofErr w:type="spellEnd"/>
      <w:r>
        <w:rPr>
          <w:rFonts w:ascii="Courier New" w:eastAsia="Courier New" w:hAnsi="Courier New" w:cs="Courier New"/>
          <w:sz w:val="22"/>
          <w:szCs w:val="22"/>
        </w:rPr>
        <w:t xml:space="preserve">         DNS hosted zone </w:t>
      </w:r>
      <w:proofErr w:type="spellStart"/>
      <w:r>
        <w:rPr>
          <w:rFonts w:ascii="Courier New" w:eastAsia="Courier New" w:hAnsi="Courier New" w:cs="Courier New"/>
          <w:sz w:val="22"/>
          <w:szCs w:val="22"/>
        </w:rPr>
        <w:t>zone_id</w:t>
      </w:r>
      <w:proofErr w:type="spellEnd"/>
      <w:r>
        <w:rPr>
          <w:rFonts w:ascii="Courier New" w:eastAsia="Courier New" w:hAnsi="Courier New" w:cs="Courier New"/>
          <w:sz w:val="22"/>
          <w:szCs w:val="22"/>
        </w:rPr>
        <w:t xml:space="preserve">, domain app.service.com         Verification window </w:t>
      </w:r>
      <w:proofErr w:type="spellStart"/>
      <w:r>
        <w:rPr>
          <w:rFonts w:ascii="Courier New" w:eastAsia="Courier New" w:hAnsi="Courier New" w:cs="Courier New"/>
          <w:sz w:val="22"/>
          <w:szCs w:val="22"/>
        </w:rPr>
        <w:t>T_verify_dns</w:t>
      </w:r>
      <w:proofErr w:type="spellEnd"/>
      <w:r>
        <w:rPr>
          <w:rFonts w:ascii="Courier New" w:eastAsia="Courier New" w:hAnsi="Courier New" w:cs="Courier New"/>
          <w:sz w:val="22"/>
          <w:szCs w:val="22"/>
        </w:rPr>
        <w:t xml:space="preserve"> OUTPUT: CUTOVER_COMPLETE or ROLLBACK  1.  // Pre-cutover: both providers are active with weighted split 2.  DNS_SET_</w:t>
      </w:r>
      <w:proofErr w:type="gramStart"/>
      <w:r>
        <w:rPr>
          <w:rFonts w:ascii="Courier New" w:eastAsia="Courier New" w:hAnsi="Courier New" w:cs="Courier New"/>
          <w:sz w:val="22"/>
          <w:szCs w:val="22"/>
        </w:rPr>
        <w:t>WEIGHT(</w:t>
      </w:r>
      <w:proofErr w:type="spellStart"/>
      <w:proofErr w:type="gramEnd"/>
      <w:r>
        <w:rPr>
          <w:rFonts w:ascii="Courier New" w:eastAsia="Courier New" w:hAnsi="Courier New" w:cs="Courier New"/>
          <w:sz w:val="22"/>
          <w:szCs w:val="22"/>
        </w:rPr>
        <w:t>zone_id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w:t>
      </w:r>
      <w:proofErr w:type="gramStart"/>
      <w:r>
        <w:rPr>
          <w:rFonts w:ascii="Courier New" w:eastAsia="Courier New" w:hAnsi="Courier New" w:cs="Courier New"/>
          <w:sz w:val="22"/>
          <w:szCs w:val="22"/>
        </w:rPr>
        <w:t>src</w:t>
      </w:r>
      <w:proofErr w:type="spellEnd"/>
      <w:r>
        <w:rPr>
          <w:rFonts w:ascii="Courier New" w:eastAsia="Courier New" w:hAnsi="Courier New" w:cs="Courier New"/>
          <w:sz w:val="22"/>
          <w:szCs w:val="22"/>
        </w:rPr>
        <w:t>,  weight</w:t>
      </w:r>
      <w:proofErr w:type="gramEnd"/>
      <w:r>
        <w:rPr>
          <w:rFonts w:ascii="Courier New" w:eastAsia="Courier New" w:hAnsi="Courier New" w:cs="Courier New"/>
          <w:sz w:val="22"/>
          <w:szCs w:val="22"/>
        </w:rPr>
        <w:t>=200) 3.  DNS_SET_</w:t>
      </w:r>
      <w:proofErr w:type="gramStart"/>
      <w:r>
        <w:rPr>
          <w:rFonts w:ascii="Courier New" w:eastAsia="Courier New" w:hAnsi="Courier New" w:cs="Courier New"/>
          <w:sz w:val="22"/>
          <w:szCs w:val="22"/>
        </w:rPr>
        <w:t>WEIGHT(</w:t>
      </w:r>
      <w:proofErr w:type="spellStart"/>
      <w:proofErr w:type="gramEnd"/>
      <w:r>
        <w:rPr>
          <w:rFonts w:ascii="Courier New" w:eastAsia="Courier New" w:hAnsi="Courier New" w:cs="Courier New"/>
          <w:sz w:val="22"/>
          <w:szCs w:val="22"/>
        </w:rPr>
        <w:t>zone_id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w:t>
      </w:r>
      <w:proofErr w:type="gramStart"/>
      <w:r>
        <w:rPr>
          <w:rFonts w:ascii="Courier New" w:eastAsia="Courier New" w:hAnsi="Courier New" w:cs="Courier New"/>
          <w:sz w:val="22"/>
          <w:szCs w:val="22"/>
        </w:rPr>
        <w:t>tgt</w:t>
      </w:r>
      <w:proofErr w:type="spellEnd"/>
      <w:r>
        <w:rPr>
          <w:rFonts w:ascii="Courier New" w:eastAsia="Courier New" w:hAnsi="Courier New" w:cs="Courier New"/>
          <w:sz w:val="22"/>
          <w:szCs w:val="22"/>
        </w:rPr>
        <w:t>,  weight</w:t>
      </w:r>
      <w:proofErr w:type="gramEnd"/>
      <w:r>
        <w:rPr>
          <w:rFonts w:ascii="Courier New" w:eastAsia="Courier New" w:hAnsi="Courier New" w:cs="Courier New"/>
          <w:sz w:val="22"/>
          <w:szCs w:val="22"/>
        </w:rPr>
        <w:t>=55) 4.  SLEEP(</w:t>
      </w:r>
      <w:proofErr w:type="spellStart"/>
      <w:r>
        <w:rPr>
          <w:rFonts w:ascii="Courier New" w:eastAsia="Courier New" w:hAnsi="Courier New" w:cs="Courier New"/>
          <w:sz w:val="22"/>
          <w:szCs w:val="22"/>
        </w:rPr>
        <w:t>T_</w:t>
      </w:r>
      <w:proofErr w:type="gramStart"/>
      <w:r>
        <w:rPr>
          <w:rFonts w:ascii="Courier New" w:eastAsia="Courier New" w:hAnsi="Courier New" w:cs="Courier New"/>
          <w:sz w:val="22"/>
          <w:szCs w:val="22"/>
        </w:rPr>
        <w:t>ttl</w:t>
      </w:r>
      <w:proofErr w:type="spellEnd"/>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allow </w:t>
      </w:r>
      <w:proofErr w:type="gramStart"/>
      <w:r>
        <w:rPr>
          <w:rFonts w:ascii="Courier New" w:eastAsia="Courier New" w:hAnsi="Courier New" w:cs="Courier New"/>
          <w:sz w:val="22"/>
          <w:szCs w:val="22"/>
        </w:rPr>
        <w:t>propagation  5</w:t>
      </w:r>
      <w:proofErr w:type="gramEnd"/>
      <w:r>
        <w:rPr>
          <w:rFonts w:ascii="Courier New" w:eastAsia="Courier New" w:hAnsi="Courier New" w:cs="Courier New"/>
          <w:sz w:val="22"/>
          <w:szCs w:val="22"/>
        </w:rPr>
        <w:t>.  // Observe target under partial live traffic 6.  IF HEALTH_CHECK(</w:t>
      </w:r>
      <w:proofErr w:type="spellStart"/>
      <w:r>
        <w:rPr>
          <w:rFonts w:ascii="Courier New" w:eastAsia="Courier New" w:hAnsi="Courier New" w:cs="Courier New"/>
          <w:sz w:val="22"/>
          <w:szCs w:val="22"/>
        </w:rPr>
        <w:t>p_tgt</w:t>
      </w:r>
      <w:proofErr w:type="spellEnd"/>
      <w:r>
        <w:rPr>
          <w:rFonts w:ascii="Courier New" w:eastAsia="Courier New" w:hAnsi="Courier New" w:cs="Courier New"/>
          <w:sz w:val="22"/>
          <w:szCs w:val="22"/>
        </w:rPr>
        <w:t>) = HEALTHY THEN 7.      // Full cutover: all traffic to target 8.      DNS_SET_</w:t>
      </w:r>
      <w:proofErr w:type="gramStart"/>
      <w:r>
        <w:rPr>
          <w:rFonts w:ascii="Courier New" w:eastAsia="Courier New" w:hAnsi="Courier New" w:cs="Courier New"/>
          <w:sz w:val="22"/>
          <w:szCs w:val="22"/>
        </w:rPr>
        <w:t>WEIGHT(</w:t>
      </w:r>
      <w:proofErr w:type="spellStart"/>
      <w:proofErr w:type="gramEnd"/>
      <w:r>
        <w:rPr>
          <w:rFonts w:ascii="Courier New" w:eastAsia="Courier New" w:hAnsi="Courier New" w:cs="Courier New"/>
          <w:sz w:val="22"/>
          <w:szCs w:val="22"/>
        </w:rPr>
        <w:t>zone_id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lastRenderedPageBreak/>
        <w:t>p_</w:t>
      </w:r>
      <w:proofErr w:type="gramStart"/>
      <w:r>
        <w:rPr>
          <w:rFonts w:ascii="Courier New" w:eastAsia="Courier New" w:hAnsi="Courier New" w:cs="Courier New"/>
          <w:sz w:val="22"/>
          <w:szCs w:val="22"/>
        </w:rPr>
        <w:t>src</w:t>
      </w:r>
      <w:proofErr w:type="spellEnd"/>
      <w:r>
        <w:rPr>
          <w:rFonts w:ascii="Courier New" w:eastAsia="Courier New" w:hAnsi="Courier New" w:cs="Courier New"/>
          <w:sz w:val="22"/>
          <w:szCs w:val="22"/>
        </w:rPr>
        <w:t>,  weight</w:t>
      </w:r>
      <w:proofErr w:type="gramEnd"/>
      <w:r>
        <w:rPr>
          <w:rFonts w:ascii="Courier New" w:eastAsia="Courier New" w:hAnsi="Courier New" w:cs="Courier New"/>
          <w:sz w:val="22"/>
          <w:szCs w:val="22"/>
        </w:rPr>
        <w:t>=0) 9.      DNS_SET_</w:t>
      </w:r>
      <w:proofErr w:type="gramStart"/>
      <w:r>
        <w:rPr>
          <w:rFonts w:ascii="Courier New" w:eastAsia="Courier New" w:hAnsi="Courier New" w:cs="Courier New"/>
          <w:sz w:val="22"/>
          <w:szCs w:val="22"/>
        </w:rPr>
        <w:t>WEIGHT(</w:t>
      </w:r>
      <w:proofErr w:type="spellStart"/>
      <w:proofErr w:type="gramEnd"/>
      <w:r>
        <w:rPr>
          <w:rFonts w:ascii="Courier New" w:eastAsia="Courier New" w:hAnsi="Courier New" w:cs="Courier New"/>
          <w:sz w:val="22"/>
          <w:szCs w:val="22"/>
        </w:rPr>
        <w:t>zone_id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w:t>
      </w:r>
      <w:proofErr w:type="gramStart"/>
      <w:r>
        <w:rPr>
          <w:rFonts w:ascii="Courier New" w:eastAsia="Courier New" w:hAnsi="Courier New" w:cs="Courier New"/>
          <w:sz w:val="22"/>
          <w:szCs w:val="22"/>
        </w:rPr>
        <w:t>tgt</w:t>
      </w:r>
      <w:proofErr w:type="spellEnd"/>
      <w:r>
        <w:rPr>
          <w:rFonts w:ascii="Courier New" w:eastAsia="Courier New" w:hAnsi="Courier New" w:cs="Courier New"/>
          <w:sz w:val="22"/>
          <w:szCs w:val="22"/>
        </w:rPr>
        <w:t>,  weight</w:t>
      </w:r>
      <w:proofErr w:type="gramEnd"/>
      <w:r>
        <w:rPr>
          <w:rFonts w:ascii="Courier New" w:eastAsia="Courier New" w:hAnsi="Courier New" w:cs="Courier New"/>
          <w:sz w:val="22"/>
          <w:szCs w:val="22"/>
        </w:rPr>
        <w:t>=255) 10.     SLEEP(</w:t>
      </w:r>
      <w:proofErr w:type="spellStart"/>
      <w:r>
        <w:rPr>
          <w:rFonts w:ascii="Courier New" w:eastAsia="Courier New" w:hAnsi="Courier New" w:cs="Courier New"/>
          <w:sz w:val="22"/>
          <w:szCs w:val="22"/>
        </w:rPr>
        <w:t>T_</w:t>
      </w:r>
      <w:proofErr w:type="gramStart"/>
      <w:r>
        <w:rPr>
          <w:rFonts w:ascii="Courier New" w:eastAsia="Courier New" w:hAnsi="Courier New" w:cs="Courier New"/>
          <w:sz w:val="22"/>
          <w:szCs w:val="22"/>
        </w:rPr>
        <w:t>ttl</w:t>
      </w:r>
      <w:proofErr w:type="spellEnd"/>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allow propagation 11.     // Post-cutover verification 12.     WAIT </w:t>
      </w:r>
      <w:proofErr w:type="spellStart"/>
      <w:r>
        <w:rPr>
          <w:rFonts w:ascii="Courier New" w:eastAsia="Courier New" w:hAnsi="Courier New" w:cs="Courier New"/>
          <w:sz w:val="22"/>
          <w:szCs w:val="22"/>
        </w:rPr>
        <w:t>T_verify_dns</w:t>
      </w:r>
      <w:proofErr w:type="spellEnd"/>
      <w:r>
        <w:rPr>
          <w:rFonts w:ascii="Courier New" w:eastAsia="Courier New" w:hAnsi="Courier New" w:cs="Courier New"/>
          <w:sz w:val="22"/>
          <w:szCs w:val="22"/>
        </w:rPr>
        <w:t xml:space="preserve"> seconds 13.     IF HEALTH_CHECK(</w:t>
      </w:r>
      <w:proofErr w:type="spellStart"/>
      <w:r>
        <w:rPr>
          <w:rFonts w:ascii="Courier New" w:eastAsia="Courier New" w:hAnsi="Courier New" w:cs="Courier New"/>
          <w:sz w:val="22"/>
          <w:szCs w:val="22"/>
        </w:rPr>
        <w:t>p_tgt</w:t>
      </w:r>
      <w:proofErr w:type="spellEnd"/>
      <w:r>
        <w:rPr>
          <w:rFonts w:ascii="Courier New" w:eastAsia="Courier New" w:hAnsi="Courier New" w:cs="Courier New"/>
          <w:sz w:val="22"/>
          <w:szCs w:val="22"/>
        </w:rPr>
        <w:t xml:space="preserve">) = HEALTHY THEN 14.         RETURN CUTOVER_COMPLETE 15.     ELSE 16.         GOTO ROLLBACK 17. ELSE 18.     GOTO </w:t>
      </w:r>
      <w:proofErr w:type="gramStart"/>
      <w:r>
        <w:rPr>
          <w:rFonts w:ascii="Courier New" w:eastAsia="Courier New" w:hAnsi="Courier New" w:cs="Courier New"/>
          <w:sz w:val="22"/>
          <w:szCs w:val="22"/>
        </w:rPr>
        <w:t xml:space="preserve">ROLLBACK  </w:t>
      </w:r>
      <w:proofErr w:type="spellStart"/>
      <w:r>
        <w:rPr>
          <w:rFonts w:ascii="Courier New" w:eastAsia="Courier New" w:hAnsi="Courier New" w:cs="Courier New"/>
          <w:sz w:val="22"/>
          <w:szCs w:val="22"/>
        </w:rPr>
        <w:t>ROLLBACK</w:t>
      </w:r>
      <w:proofErr w:type="spellEnd"/>
      <w:proofErr w:type="gramEnd"/>
      <w:r>
        <w:rPr>
          <w:rFonts w:ascii="Courier New" w:eastAsia="Courier New" w:hAnsi="Courier New" w:cs="Courier New"/>
          <w:sz w:val="22"/>
          <w:szCs w:val="22"/>
        </w:rPr>
        <w:t>: 19.     DNS_SET_</w:t>
      </w:r>
      <w:proofErr w:type="gramStart"/>
      <w:r>
        <w:rPr>
          <w:rFonts w:ascii="Courier New" w:eastAsia="Courier New" w:hAnsi="Courier New" w:cs="Courier New"/>
          <w:sz w:val="22"/>
          <w:szCs w:val="22"/>
        </w:rPr>
        <w:t>WEIGHT(</w:t>
      </w:r>
      <w:proofErr w:type="spellStart"/>
      <w:proofErr w:type="gramEnd"/>
      <w:r>
        <w:rPr>
          <w:rFonts w:ascii="Courier New" w:eastAsia="Courier New" w:hAnsi="Courier New" w:cs="Courier New"/>
          <w:sz w:val="22"/>
          <w:szCs w:val="22"/>
        </w:rPr>
        <w:t>zone_id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w:t>
      </w:r>
      <w:proofErr w:type="gramStart"/>
      <w:r>
        <w:rPr>
          <w:rFonts w:ascii="Courier New" w:eastAsia="Courier New" w:hAnsi="Courier New" w:cs="Courier New"/>
          <w:sz w:val="22"/>
          <w:szCs w:val="22"/>
        </w:rPr>
        <w:t>src</w:t>
      </w:r>
      <w:proofErr w:type="spellEnd"/>
      <w:r>
        <w:rPr>
          <w:rFonts w:ascii="Courier New" w:eastAsia="Courier New" w:hAnsi="Courier New" w:cs="Courier New"/>
          <w:sz w:val="22"/>
          <w:szCs w:val="22"/>
        </w:rPr>
        <w:t>,  weight</w:t>
      </w:r>
      <w:proofErr w:type="gramEnd"/>
      <w:r>
        <w:rPr>
          <w:rFonts w:ascii="Courier New" w:eastAsia="Courier New" w:hAnsi="Courier New" w:cs="Courier New"/>
          <w:sz w:val="22"/>
          <w:szCs w:val="22"/>
        </w:rPr>
        <w:t>=255) 20.     DNS_SET_</w:t>
      </w:r>
      <w:proofErr w:type="gramStart"/>
      <w:r>
        <w:rPr>
          <w:rFonts w:ascii="Courier New" w:eastAsia="Courier New" w:hAnsi="Courier New" w:cs="Courier New"/>
          <w:sz w:val="22"/>
          <w:szCs w:val="22"/>
        </w:rPr>
        <w:t>WEIGHT(</w:t>
      </w:r>
      <w:proofErr w:type="spellStart"/>
      <w:proofErr w:type="gramEnd"/>
      <w:r>
        <w:rPr>
          <w:rFonts w:ascii="Courier New" w:eastAsia="Courier New" w:hAnsi="Courier New" w:cs="Courier New"/>
          <w:sz w:val="22"/>
          <w:szCs w:val="22"/>
        </w:rPr>
        <w:t>zone_id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p_</w:t>
      </w:r>
      <w:proofErr w:type="gramStart"/>
      <w:r>
        <w:rPr>
          <w:rFonts w:ascii="Courier New" w:eastAsia="Courier New" w:hAnsi="Courier New" w:cs="Courier New"/>
          <w:sz w:val="22"/>
          <w:szCs w:val="22"/>
        </w:rPr>
        <w:t>tgt</w:t>
      </w:r>
      <w:proofErr w:type="spellEnd"/>
      <w:r>
        <w:rPr>
          <w:rFonts w:ascii="Courier New" w:eastAsia="Courier New" w:hAnsi="Courier New" w:cs="Courier New"/>
          <w:sz w:val="22"/>
          <w:szCs w:val="22"/>
        </w:rPr>
        <w:t>,  weight</w:t>
      </w:r>
      <w:proofErr w:type="gramEnd"/>
      <w:r>
        <w:rPr>
          <w:rFonts w:ascii="Courier New" w:eastAsia="Courier New" w:hAnsi="Courier New" w:cs="Courier New"/>
          <w:sz w:val="22"/>
          <w:szCs w:val="22"/>
        </w:rPr>
        <w:t>=0) 21.     SLEEP(</w:t>
      </w:r>
      <w:proofErr w:type="spellStart"/>
      <w:r>
        <w:rPr>
          <w:rFonts w:ascii="Courier New" w:eastAsia="Courier New" w:hAnsi="Courier New" w:cs="Courier New"/>
          <w:sz w:val="22"/>
          <w:szCs w:val="22"/>
        </w:rPr>
        <w:t>T_ttl</w:t>
      </w:r>
      <w:proofErr w:type="spellEnd"/>
      <w:r>
        <w:rPr>
          <w:rFonts w:ascii="Courier New" w:eastAsia="Courier New" w:hAnsi="Courier New" w:cs="Courier New"/>
          <w:sz w:val="22"/>
          <w:szCs w:val="22"/>
        </w:rPr>
        <w:t>) 22.     LOG rollback event with timestamp and failure reason 23.     RETURN ROLLBACK</w:t>
      </w:r>
    </w:p>
    <w:p w14:paraId="41ED3A61"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sectPr w:rsidR="00127A76" w:rsidSect="00127A76">
          <w:type w:val="continuous"/>
          <w:pgSz w:w="11906" w:h="16838"/>
          <w:pgMar w:top="1440" w:right="1440" w:bottom="1440" w:left="1440" w:header="720" w:footer="720" w:gutter="0"/>
          <w:cols w:space="720"/>
          <w:docGrid w:linePitch="360"/>
        </w:sectPr>
      </w:pPr>
    </w:p>
    <w:p w14:paraId="5991A8B7"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use of a weight=55 partial split at step 3 routes approximately 21% of incoming requests to the target provider before full cutover. This brief live-traffic validation period exposes the target deployment to realistic production request patterns — including authenticated sessions, database queries, and downstream API calls — which may not be fully replicated by synthetic health check polls. If the target deployment sustains healthy responses under partial live traffic, the full cutover at step 9 proceeds with high confidence.</w:t>
      </w:r>
    </w:p>
    <w:p w14:paraId="4402507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i/>
          <w:iCs/>
          <w:color w:val="000000" w:themeColor="text1"/>
          <w:sz w:val="22"/>
          <w:szCs w:val="22"/>
          <w:lang w:val="en-IN"/>
        </w:rPr>
        <w:t>4.6.3 Source Decommissioning</w:t>
      </w:r>
    </w:p>
    <w:p w14:paraId="27D6CDB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Following a confirmed successful cutover (CUTOVER_COMPLETE), the source cloud deployment enters a decommissioning hold period of </w:t>
      </w:r>
      <w:proofErr w:type="spellStart"/>
      <w:r w:rsidRPr="00127A76">
        <w:rPr>
          <w:rFonts w:ascii="Times New Roman" w:eastAsia="Times New Roman" w:hAnsi="Times New Roman" w:cs="Times New Roman"/>
          <w:color w:val="000000" w:themeColor="text1"/>
          <w:sz w:val="22"/>
          <w:szCs w:val="22"/>
          <w:lang w:val="en-IN"/>
        </w:rPr>
        <w:t>T_hold</w:t>
      </w:r>
      <w:proofErr w:type="spellEnd"/>
      <w:r w:rsidRPr="00127A76">
        <w:rPr>
          <w:rFonts w:ascii="Times New Roman" w:eastAsia="Times New Roman" w:hAnsi="Times New Roman" w:cs="Times New Roman"/>
          <w:color w:val="000000" w:themeColor="text1"/>
          <w:sz w:val="22"/>
          <w:szCs w:val="22"/>
          <w:lang w:val="en-IN"/>
        </w:rPr>
        <w:t xml:space="preserve"> (default: 10 minutes). During this window, the source deployment remains running but receives zero DNS traffic (weight=0). This preserves an instant rollback capability in case post-migration issues are detected by the monitoring layer within the immediate post-cutover window.</w:t>
      </w:r>
    </w:p>
    <w:p w14:paraId="769E941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After </w:t>
      </w:r>
      <w:proofErr w:type="spellStart"/>
      <w:r w:rsidRPr="00127A76">
        <w:rPr>
          <w:rFonts w:ascii="Times New Roman" w:eastAsia="Times New Roman" w:hAnsi="Times New Roman" w:cs="Times New Roman"/>
          <w:color w:val="000000" w:themeColor="text1"/>
          <w:sz w:val="22"/>
          <w:szCs w:val="22"/>
          <w:lang w:val="en-IN"/>
        </w:rPr>
        <w:t>T_hold</w:t>
      </w:r>
      <w:proofErr w:type="spellEnd"/>
      <w:r w:rsidRPr="00127A76">
        <w:rPr>
          <w:rFonts w:ascii="Times New Roman" w:eastAsia="Times New Roman" w:hAnsi="Times New Roman" w:cs="Times New Roman"/>
          <w:color w:val="000000" w:themeColor="text1"/>
          <w:sz w:val="22"/>
          <w:szCs w:val="22"/>
          <w:lang w:val="en-IN"/>
        </w:rPr>
        <w:t xml:space="preserve"> elapses without a rollback trigger, the orchestrator executes a graceful shutdown of the source deployment by issuing a Helm uninstall command against the source cluster. The system ensures that in-flight requests are drained before pod termination by configuring a </w:t>
      </w:r>
      <w:proofErr w:type="spellStart"/>
      <w:r w:rsidRPr="00127A76">
        <w:rPr>
          <w:rFonts w:ascii="Times New Roman" w:eastAsia="Times New Roman" w:hAnsi="Times New Roman" w:cs="Times New Roman"/>
          <w:color w:val="000000" w:themeColor="text1"/>
          <w:sz w:val="22"/>
          <w:szCs w:val="22"/>
          <w:lang w:val="en-IN"/>
        </w:rPr>
        <w:t>terminationGracePeriodSeconds</w:t>
      </w:r>
      <w:proofErr w:type="spellEnd"/>
      <w:r w:rsidRPr="00127A76">
        <w:rPr>
          <w:rFonts w:ascii="Times New Roman" w:eastAsia="Times New Roman" w:hAnsi="Times New Roman" w:cs="Times New Roman"/>
          <w:color w:val="000000" w:themeColor="text1"/>
          <w:sz w:val="22"/>
          <w:szCs w:val="22"/>
          <w:lang w:val="en-IN"/>
        </w:rPr>
        <w:t xml:space="preserve"> value of 60 seconds on all pods, giving active connections time to complete naturally.</w:t>
      </w:r>
    </w:p>
    <w:p w14:paraId="3CA3E91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7731A36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4.7 Rollback and Fault Tolerance Mechanisms</w:t>
      </w:r>
    </w:p>
    <w:p w14:paraId="46572313"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Robust rollback support is a first-class design requirement of the proposed methodology. Rollback procedures are defined at three distinct levels, corresponding to the stage at which a failure is detected:</w:t>
      </w:r>
    </w:p>
    <w:p w14:paraId="17E97CA0"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Deployment-level rollback (Phase 4): If the Helm deployment fails or post-deployment health verification times out, Helm's --atomic flag automatically removes the failed release from the target cluster. No DNS changes have been made at this point, so the source deployment continues to serve all user traffic without interruption.</w:t>
      </w:r>
    </w:p>
    <w:p w14:paraId="735ECF1A"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DNS-level rollback (Phase 5, pre-full-cutover): If health checks fail during the partial traffic split window, DNS weights are immediately restored to route 100% of traffic to the source provider. The target deployment is subsequently uninstalled from the target cluster.</w:t>
      </w:r>
    </w:p>
    <w:p w14:paraId="173C158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Post-cutover rollback (Phase 5, post-full-cutover): If the monitoring layer or health check system detects a degradation event within the </w:t>
      </w:r>
      <w:proofErr w:type="spellStart"/>
      <w:r w:rsidRPr="00127A76">
        <w:rPr>
          <w:rFonts w:ascii="Times New Roman" w:eastAsia="Times New Roman" w:hAnsi="Times New Roman" w:cs="Times New Roman"/>
          <w:color w:val="000000" w:themeColor="text1"/>
          <w:sz w:val="22"/>
          <w:szCs w:val="22"/>
          <w:lang w:val="en-IN"/>
        </w:rPr>
        <w:t>T_hold</w:t>
      </w:r>
      <w:proofErr w:type="spellEnd"/>
      <w:r w:rsidRPr="00127A76">
        <w:rPr>
          <w:rFonts w:ascii="Times New Roman" w:eastAsia="Times New Roman" w:hAnsi="Times New Roman" w:cs="Times New Roman"/>
          <w:color w:val="000000" w:themeColor="text1"/>
          <w:sz w:val="22"/>
          <w:szCs w:val="22"/>
          <w:lang w:val="en-IN"/>
        </w:rPr>
        <w:t xml:space="preserve"> window after full cutover, the orchestrator reverses DNS weights to restore source-provider routing within </w:t>
      </w:r>
      <w:proofErr w:type="spellStart"/>
      <w:r w:rsidRPr="00127A76">
        <w:rPr>
          <w:rFonts w:ascii="Times New Roman" w:eastAsia="Times New Roman" w:hAnsi="Times New Roman" w:cs="Times New Roman"/>
          <w:color w:val="000000" w:themeColor="text1"/>
          <w:sz w:val="22"/>
          <w:szCs w:val="22"/>
          <w:lang w:val="en-IN"/>
        </w:rPr>
        <w:t>T_ttl</w:t>
      </w:r>
      <w:proofErr w:type="spellEnd"/>
      <w:r w:rsidRPr="00127A76">
        <w:rPr>
          <w:rFonts w:ascii="Times New Roman" w:eastAsia="Times New Roman" w:hAnsi="Times New Roman" w:cs="Times New Roman"/>
          <w:color w:val="000000" w:themeColor="text1"/>
          <w:sz w:val="22"/>
          <w:szCs w:val="22"/>
          <w:lang w:val="en-IN"/>
        </w:rPr>
        <w:t xml:space="preserve"> seconds and initiates a new Phase 4 cycle to re-deploy the workload on the source cluster if necessary.</w:t>
      </w:r>
    </w:p>
    <w:p w14:paraId="7711AF7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7C85F5A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All rollback events are recorded in a structured audit log that captures the migration event ID, source and target providers, failure stage, failure reason, timestamps, and the resulting system state. This log serves as the primary data source for post-incident analysis and for the provider blacklisting mechanism in the Decision Engine.</w:t>
      </w:r>
    </w:p>
    <w:p w14:paraId="3A2EA83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2AF83301"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4.8 Implementation Stack and Tool Mapping</w:t>
      </w:r>
    </w:p>
    <w:p w14:paraId="0EC96BD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proposed methodology is implemented using a curated set of open-source and cloud-managed tools, selected for their maturity, community support, and compatibility with multi-cloud Kubernetes environments. Table 3 maps each methodological component to its implementation technology.</w:t>
      </w:r>
    </w:p>
    <w:p w14:paraId="44E578F9"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sectPr w:rsidR="00127A76" w:rsidSect="00127A76">
          <w:type w:val="continuous"/>
          <w:pgSz w:w="11906" w:h="16838"/>
          <w:pgMar w:top="1440" w:right="1440" w:bottom="1440" w:left="1440" w:header="720" w:footer="720" w:gutter="0"/>
          <w:cols w:num="2"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3569"/>
        <w:gridCol w:w="3403"/>
      </w:tblGrid>
      <w:tr w:rsidR="00127A76" w14:paraId="12F00E90"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D3D7470" w14:textId="77777777" w:rsidR="00127A76" w:rsidRDefault="00127A76" w:rsidP="009A1966">
            <w:pPr>
              <w:jc w:val="center"/>
            </w:pPr>
            <w:r>
              <w:rPr>
                <w:rFonts w:ascii="Times New Roman" w:eastAsia="Times New Roman" w:hAnsi="Times New Roman" w:cs="Times New Roman"/>
                <w:b/>
                <w:bCs/>
                <w:sz w:val="22"/>
                <w:szCs w:val="22"/>
              </w:rPr>
              <w:t>Methodology Component</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9A8C76D" w14:textId="77777777" w:rsidR="00127A76" w:rsidRDefault="00127A76" w:rsidP="009A1966">
            <w:pPr>
              <w:jc w:val="center"/>
            </w:pPr>
            <w:r>
              <w:rPr>
                <w:rFonts w:ascii="Times New Roman" w:eastAsia="Times New Roman" w:hAnsi="Times New Roman" w:cs="Times New Roman"/>
                <w:b/>
                <w:bCs/>
                <w:sz w:val="22"/>
                <w:szCs w:val="22"/>
              </w:rPr>
              <w:t>Implementation Technology</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AF7792A" w14:textId="77777777" w:rsidR="00127A76" w:rsidRDefault="00127A76" w:rsidP="009A1966">
            <w:pPr>
              <w:jc w:val="center"/>
            </w:pPr>
            <w:r>
              <w:rPr>
                <w:rFonts w:ascii="Times New Roman" w:eastAsia="Times New Roman" w:hAnsi="Times New Roman" w:cs="Times New Roman"/>
                <w:b/>
                <w:bCs/>
                <w:sz w:val="22"/>
                <w:szCs w:val="22"/>
              </w:rPr>
              <w:t>Role</w:t>
            </w:r>
          </w:p>
        </w:tc>
      </w:tr>
      <w:tr w:rsidR="00127A76" w14:paraId="5BB81D48"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6B56AC" w14:textId="77777777" w:rsidR="00127A76" w:rsidRDefault="00127A76" w:rsidP="009A1966">
            <w:r>
              <w:rPr>
                <w:rFonts w:ascii="Times New Roman" w:eastAsia="Times New Roman" w:hAnsi="Times New Roman" w:cs="Times New Roman"/>
                <w:sz w:val="22"/>
                <w:szCs w:val="22"/>
              </w:rPr>
              <w:t>Containerization Adapter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E8CC58" w14:textId="77777777" w:rsidR="00127A76" w:rsidRDefault="00127A76" w:rsidP="009A1966">
            <w:r>
              <w:rPr>
                <w:rFonts w:ascii="Times New Roman" w:eastAsia="Times New Roman" w:hAnsi="Times New Roman" w:cs="Times New Roman"/>
                <w:sz w:val="22"/>
                <w:szCs w:val="22"/>
              </w:rPr>
              <w:t xml:space="preserve">Docker, AWS App2Container, </w:t>
            </w:r>
            <w:proofErr w:type="spellStart"/>
            <w:r>
              <w:rPr>
                <w:rFonts w:ascii="Times New Roman" w:eastAsia="Times New Roman" w:hAnsi="Times New Roman" w:cs="Times New Roman"/>
                <w:sz w:val="22"/>
                <w:szCs w:val="22"/>
              </w:rPr>
              <w:t>Buildpacks</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406DC" w14:textId="77777777" w:rsidR="00127A76" w:rsidRDefault="00127A76" w:rsidP="009A1966">
            <w:r>
              <w:rPr>
                <w:rFonts w:ascii="Times New Roman" w:eastAsia="Times New Roman" w:hAnsi="Times New Roman" w:cs="Times New Roman"/>
                <w:sz w:val="22"/>
                <w:szCs w:val="22"/>
              </w:rPr>
              <w:t>Legacy-to-container conversion</w:t>
            </w:r>
          </w:p>
        </w:tc>
      </w:tr>
      <w:tr w:rsidR="00127A76" w14:paraId="622B597B"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483AA2" w14:textId="77777777" w:rsidR="00127A76" w:rsidRDefault="00127A76" w:rsidP="009A1966">
            <w:r>
              <w:rPr>
                <w:rFonts w:ascii="Times New Roman" w:eastAsia="Times New Roman" w:hAnsi="Times New Roman" w:cs="Times New Roman"/>
                <w:sz w:val="22"/>
                <w:szCs w:val="22"/>
              </w:rPr>
              <w:t>Container Registry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FE2CC6" w14:textId="77777777" w:rsidR="00127A76" w:rsidRDefault="00127A76" w:rsidP="009A1966">
            <w:r>
              <w:rPr>
                <w:rFonts w:ascii="Times New Roman" w:eastAsia="Times New Roman" w:hAnsi="Times New Roman" w:cs="Times New Roman"/>
                <w:sz w:val="22"/>
                <w:szCs w:val="22"/>
              </w:rPr>
              <w:t>Amazon ECR / Azure ACR / Google GAR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86C30" w14:textId="77777777" w:rsidR="00127A76" w:rsidRDefault="00127A76" w:rsidP="009A1966">
            <w:r>
              <w:rPr>
                <w:rFonts w:ascii="Times New Roman" w:eastAsia="Times New Roman" w:hAnsi="Times New Roman" w:cs="Times New Roman"/>
                <w:sz w:val="22"/>
                <w:szCs w:val="22"/>
              </w:rPr>
              <w:t>Centralized image storage</w:t>
            </w:r>
          </w:p>
        </w:tc>
      </w:tr>
      <w:tr w:rsidR="00127A76" w14:paraId="2E637F54"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14C10A" w14:textId="77777777" w:rsidR="00127A76" w:rsidRDefault="00127A76" w:rsidP="009A1966">
            <w:r>
              <w:rPr>
                <w:rFonts w:ascii="Times New Roman" w:eastAsia="Times New Roman" w:hAnsi="Times New Roman" w:cs="Times New Roman"/>
                <w:sz w:val="22"/>
                <w:szCs w:val="22"/>
              </w:rPr>
              <w:t>Cluster Provisioning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3E720E" w14:textId="77777777" w:rsidR="00127A76" w:rsidRDefault="00127A76" w:rsidP="009A1966">
            <w:r>
              <w:rPr>
                <w:rFonts w:ascii="Times New Roman" w:eastAsia="Times New Roman" w:hAnsi="Times New Roman" w:cs="Times New Roman"/>
                <w:sz w:val="22"/>
                <w:szCs w:val="22"/>
              </w:rPr>
              <w:t>Terraform (AWS EKS, AKS, GKE modules)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A3942" w14:textId="77777777" w:rsidR="00127A76" w:rsidRDefault="00127A76" w:rsidP="009A1966">
            <w:r>
              <w:rPr>
                <w:rFonts w:ascii="Times New Roman" w:eastAsia="Times New Roman" w:hAnsi="Times New Roman" w:cs="Times New Roman"/>
                <w:sz w:val="22"/>
                <w:szCs w:val="22"/>
              </w:rPr>
              <w:t>Infrastructure as code</w:t>
            </w:r>
          </w:p>
        </w:tc>
      </w:tr>
      <w:tr w:rsidR="00127A76" w14:paraId="3043A0F3"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189800" w14:textId="77777777" w:rsidR="00127A76" w:rsidRDefault="00127A76" w:rsidP="009A1966">
            <w:r>
              <w:rPr>
                <w:rFonts w:ascii="Times New Roman" w:eastAsia="Times New Roman" w:hAnsi="Times New Roman" w:cs="Times New Roman"/>
                <w:sz w:val="22"/>
                <w:szCs w:val="22"/>
              </w:rPr>
              <w:t>Workload Deployment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8C13B6" w14:textId="77777777" w:rsidR="00127A76" w:rsidRDefault="00127A76" w:rsidP="009A1966">
            <w:r>
              <w:rPr>
                <w:rFonts w:ascii="Times New Roman" w:eastAsia="Times New Roman" w:hAnsi="Times New Roman" w:cs="Times New Roman"/>
                <w:sz w:val="22"/>
                <w:szCs w:val="22"/>
              </w:rPr>
              <w:t>Helm (--atomic, --wait flags)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DD138C" w14:textId="77777777" w:rsidR="00127A76" w:rsidRDefault="00127A76" w:rsidP="009A1966">
            <w:r>
              <w:rPr>
                <w:rFonts w:ascii="Times New Roman" w:eastAsia="Times New Roman" w:hAnsi="Times New Roman" w:cs="Times New Roman"/>
                <w:sz w:val="22"/>
                <w:szCs w:val="22"/>
              </w:rPr>
              <w:t>Declarative K8s package management</w:t>
            </w:r>
          </w:p>
        </w:tc>
      </w:tr>
      <w:tr w:rsidR="00127A76" w14:paraId="21B93A2E"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8261DF" w14:textId="77777777" w:rsidR="00127A76" w:rsidRDefault="00127A76" w:rsidP="009A1966">
            <w:proofErr w:type="spellStart"/>
            <w:r>
              <w:rPr>
                <w:rFonts w:ascii="Times New Roman" w:eastAsia="Times New Roman" w:hAnsi="Times New Roman" w:cs="Times New Roman"/>
                <w:sz w:val="22"/>
                <w:szCs w:val="22"/>
              </w:rPr>
              <w:t>GitOps</w:t>
            </w:r>
            <w:proofErr w:type="spellEnd"/>
            <w:r>
              <w:rPr>
                <w:rFonts w:ascii="Times New Roman" w:eastAsia="Times New Roman" w:hAnsi="Times New Roman" w:cs="Times New Roman"/>
                <w:sz w:val="22"/>
                <w:szCs w:val="22"/>
              </w:rPr>
              <w:t xml:space="preserve"> &amp; Reconciliation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F16872" w14:textId="77777777" w:rsidR="00127A76" w:rsidRDefault="00127A76" w:rsidP="009A1966">
            <w:proofErr w:type="spellStart"/>
            <w:r>
              <w:rPr>
                <w:rFonts w:ascii="Times New Roman" w:eastAsia="Times New Roman" w:hAnsi="Times New Roman" w:cs="Times New Roman"/>
                <w:sz w:val="22"/>
                <w:szCs w:val="22"/>
              </w:rPr>
              <w:t>ArgoCD</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40E5B6" w14:textId="77777777" w:rsidR="00127A76" w:rsidRDefault="00127A76" w:rsidP="009A1966">
            <w:r>
              <w:rPr>
                <w:rFonts w:ascii="Times New Roman" w:eastAsia="Times New Roman" w:hAnsi="Times New Roman" w:cs="Times New Roman"/>
                <w:sz w:val="22"/>
                <w:szCs w:val="22"/>
              </w:rPr>
              <w:t>Continuous deployment and drift correction</w:t>
            </w:r>
          </w:p>
        </w:tc>
      </w:tr>
      <w:tr w:rsidR="00127A76" w14:paraId="6A52398A"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F9BFFD" w14:textId="77777777" w:rsidR="00127A76" w:rsidRDefault="00127A76" w:rsidP="009A1966">
            <w:r>
              <w:rPr>
                <w:rFonts w:ascii="Times New Roman" w:eastAsia="Times New Roman" w:hAnsi="Times New Roman" w:cs="Times New Roman"/>
                <w:sz w:val="22"/>
                <w:szCs w:val="22"/>
              </w:rPr>
              <w:t>Metrics Collection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473F79" w14:textId="77777777" w:rsidR="00127A76" w:rsidRDefault="00127A76" w:rsidP="009A1966">
            <w:r>
              <w:rPr>
                <w:rFonts w:ascii="Times New Roman" w:eastAsia="Times New Roman" w:hAnsi="Times New Roman" w:cs="Times New Roman"/>
                <w:sz w:val="22"/>
                <w:szCs w:val="22"/>
              </w:rPr>
              <w:t>Prometheus, Grafana, CloudWatch</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5AFABF" w14:textId="77777777" w:rsidR="00127A76" w:rsidRDefault="00127A76" w:rsidP="009A1966">
            <w:r>
              <w:rPr>
                <w:rFonts w:ascii="Times New Roman" w:eastAsia="Times New Roman" w:hAnsi="Times New Roman" w:cs="Times New Roman"/>
                <w:sz w:val="22"/>
                <w:szCs w:val="22"/>
              </w:rPr>
              <w:t>Observability and telemetry</w:t>
            </w:r>
          </w:p>
        </w:tc>
      </w:tr>
      <w:tr w:rsidR="00127A76" w14:paraId="61C463D6"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766043" w14:textId="77777777" w:rsidR="00127A76" w:rsidRDefault="00127A76" w:rsidP="009A1966">
            <w:r>
              <w:rPr>
                <w:rFonts w:ascii="Times New Roman" w:eastAsia="Times New Roman" w:hAnsi="Times New Roman" w:cs="Times New Roman"/>
                <w:sz w:val="22"/>
                <w:szCs w:val="22"/>
              </w:rPr>
              <w:t>Decision Engine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57D138" w14:textId="77777777" w:rsidR="00127A76" w:rsidRDefault="00127A76" w:rsidP="009A1966">
            <w:r>
              <w:rPr>
                <w:rFonts w:ascii="Times New Roman" w:eastAsia="Times New Roman" w:hAnsi="Times New Roman" w:cs="Times New Roman"/>
                <w:sz w:val="22"/>
                <w:szCs w:val="22"/>
              </w:rPr>
              <w:t>Python (boto3, requests)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0213F4" w14:textId="77777777" w:rsidR="00127A76" w:rsidRDefault="00127A76" w:rsidP="009A1966">
            <w:r>
              <w:rPr>
                <w:rFonts w:ascii="Times New Roman" w:eastAsia="Times New Roman" w:hAnsi="Times New Roman" w:cs="Times New Roman"/>
                <w:sz w:val="22"/>
                <w:szCs w:val="22"/>
              </w:rPr>
              <w:t>Scoring and trigger logic</w:t>
            </w:r>
          </w:p>
        </w:tc>
      </w:tr>
      <w:tr w:rsidR="00127A76" w14:paraId="3B316E85"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36EDAC" w14:textId="77777777" w:rsidR="00127A76" w:rsidRDefault="00127A76" w:rsidP="009A1966">
            <w:r>
              <w:rPr>
                <w:rFonts w:ascii="Times New Roman" w:eastAsia="Times New Roman" w:hAnsi="Times New Roman" w:cs="Times New Roman"/>
                <w:sz w:val="22"/>
                <w:szCs w:val="22"/>
              </w:rPr>
              <w:t>Migration Orchestrator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48ACA9" w14:textId="77777777" w:rsidR="00127A76" w:rsidRDefault="00127A76" w:rsidP="009A1966">
            <w:r>
              <w:rPr>
                <w:rFonts w:ascii="Times New Roman" w:eastAsia="Times New Roman" w:hAnsi="Times New Roman" w:cs="Times New Roman"/>
                <w:sz w:val="22"/>
                <w:szCs w:val="22"/>
              </w:rPr>
              <w:t xml:space="preserve">Python (subprocess, </w:t>
            </w:r>
            <w:proofErr w:type="spellStart"/>
            <w:r>
              <w:rPr>
                <w:rFonts w:ascii="Times New Roman" w:eastAsia="Times New Roman" w:hAnsi="Times New Roman" w:cs="Times New Roman"/>
                <w:sz w:val="22"/>
                <w:szCs w:val="22"/>
              </w:rPr>
              <w:t>kubectl</w:t>
            </w:r>
            <w:proofErr w:type="spellEnd"/>
            <w:r>
              <w:rPr>
                <w:rFonts w:ascii="Times New Roman" w:eastAsia="Times New Roman" w:hAnsi="Times New Roman" w:cs="Times New Roman"/>
                <w:sz w:val="22"/>
                <w:szCs w:val="22"/>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14ACAE" w14:textId="77777777" w:rsidR="00127A76" w:rsidRDefault="00127A76" w:rsidP="009A1966">
            <w:r>
              <w:rPr>
                <w:rFonts w:ascii="Times New Roman" w:eastAsia="Times New Roman" w:hAnsi="Times New Roman" w:cs="Times New Roman"/>
                <w:sz w:val="22"/>
                <w:szCs w:val="22"/>
              </w:rPr>
              <w:t xml:space="preserve">Phase 4 and 5 </w:t>
            </w:r>
            <w:proofErr w:type="gramStart"/>
            <w:r>
              <w:rPr>
                <w:rFonts w:ascii="Times New Roman" w:eastAsia="Times New Roman" w:hAnsi="Times New Roman" w:cs="Times New Roman"/>
                <w:sz w:val="22"/>
                <w:szCs w:val="22"/>
              </w:rPr>
              <w:t>execution</w:t>
            </w:r>
            <w:proofErr w:type="gramEnd"/>
          </w:p>
        </w:tc>
      </w:tr>
      <w:tr w:rsidR="00127A76" w14:paraId="18F276FE"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69BFF3" w14:textId="77777777" w:rsidR="00127A76" w:rsidRDefault="00127A76" w:rsidP="009A1966">
            <w:r>
              <w:rPr>
                <w:rFonts w:ascii="Times New Roman" w:eastAsia="Times New Roman" w:hAnsi="Times New Roman" w:cs="Times New Roman"/>
                <w:sz w:val="22"/>
                <w:szCs w:val="22"/>
              </w:rPr>
              <w:t>DNS Management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F5D319" w14:textId="77777777" w:rsidR="00127A76" w:rsidRDefault="00127A76" w:rsidP="009A1966">
            <w:r>
              <w:rPr>
                <w:rFonts w:ascii="Times New Roman" w:eastAsia="Times New Roman" w:hAnsi="Times New Roman" w:cs="Times New Roman"/>
                <w:sz w:val="22"/>
                <w:szCs w:val="22"/>
              </w:rPr>
              <w:t>AWS Route 53 (weighted routing)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B04FCE" w14:textId="77777777" w:rsidR="00127A76" w:rsidRDefault="00127A76" w:rsidP="009A1966">
            <w:r>
              <w:rPr>
                <w:rFonts w:ascii="Times New Roman" w:eastAsia="Times New Roman" w:hAnsi="Times New Roman" w:cs="Times New Roman"/>
                <w:sz w:val="22"/>
                <w:szCs w:val="22"/>
              </w:rPr>
              <w:t>Layer 2 traffic direction</w:t>
            </w:r>
          </w:p>
        </w:tc>
      </w:tr>
      <w:tr w:rsidR="00127A76" w14:paraId="748FDAA7"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CBA9FE" w14:textId="77777777" w:rsidR="00127A76" w:rsidRDefault="00127A76" w:rsidP="009A1966">
            <w:r>
              <w:rPr>
                <w:rFonts w:ascii="Times New Roman" w:eastAsia="Times New Roman" w:hAnsi="Times New Roman" w:cs="Times New Roman"/>
                <w:sz w:val="22"/>
                <w:szCs w:val="22"/>
              </w:rPr>
              <w:t>Health Verification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454633" w14:textId="77777777" w:rsidR="00127A76" w:rsidRDefault="00127A76" w:rsidP="009A1966">
            <w:r>
              <w:rPr>
                <w:rFonts w:ascii="Times New Roman" w:eastAsia="Times New Roman" w:hAnsi="Times New Roman" w:cs="Times New Roman"/>
                <w:sz w:val="22"/>
                <w:szCs w:val="22"/>
              </w:rPr>
              <w:t>HTTP polling + K8s readiness probes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A2CC9A" w14:textId="77777777" w:rsidR="00127A76" w:rsidRDefault="00127A76" w:rsidP="009A1966">
            <w:r>
              <w:rPr>
                <w:rFonts w:ascii="Times New Roman" w:eastAsia="Times New Roman" w:hAnsi="Times New Roman" w:cs="Times New Roman"/>
                <w:sz w:val="22"/>
                <w:szCs w:val="22"/>
              </w:rPr>
              <w:t xml:space="preserve">Phase 4 and 5 </w:t>
            </w:r>
            <w:proofErr w:type="gramStart"/>
            <w:r>
              <w:rPr>
                <w:rFonts w:ascii="Times New Roman" w:eastAsia="Times New Roman" w:hAnsi="Times New Roman" w:cs="Times New Roman"/>
                <w:sz w:val="22"/>
                <w:szCs w:val="22"/>
              </w:rPr>
              <w:t>validation</w:t>
            </w:r>
            <w:proofErr w:type="gramEnd"/>
          </w:p>
        </w:tc>
      </w:tr>
      <w:tr w:rsidR="00127A76" w14:paraId="58916996"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C42709" w14:textId="77777777" w:rsidR="00127A76" w:rsidRDefault="00127A76" w:rsidP="009A1966">
            <w:r>
              <w:rPr>
                <w:rFonts w:ascii="Times New Roman" w:eastAsia="Times New Roman" w:hAnsi="Times New Roman" w:cs="Times New Roman"/>
                <w:sz w:val="22"/>
                <w:szCs w:val="22"/>
              </w:rPr>
              <w:t>Alerting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1A7389" w14:textId="77777777" w:rsidR="00127A76" w:rsidRDefault="00127A76" w:rsidP="009A1966">
            <w:r>
              <w:rPr>
                <w:rFonts w:ascii="Times New Roman" w:eastAsia="Times New Roman" w:hAnsi="Times New Roman" w:cs="Times New Roman"/>
                <w:sz w:val="22"/>
                <w:szCs w:val="22"/>
              </w:rPr>
              <w:t xml:space="preserve">Prometheus </w:t>
            </w:r>
            <w:proofErr w:type="spellStart"/>
            <w:r>
              <w:rPr>
                <w:rFonts w:ascii="Times New Roman" w:eastAsia="Times New Roman" w:hAnsi="Times New Roman" w:cs="Times New Roman"/>
                <w:sz w:val="22"/>
                <w:szCs w:val="22"/>
              </w:rPr>
              <w:t>AlertManager</w:t>
            </w:r>
            <w:proofErr w:type="spellEnd"/>
            <w:r>
              <w:rPr>
                <w:rFonts w:ascii="Times New Roman" w:eastAsia="Times New Roman" w:hAnsi="Times New Roman" w:cs="Times New Roman"/>
                <w:sz w:val="22"/>
                <w:szCs w:val="22"/>
              </w:rPr>
              <w:t xml:space="preserve"> + SNS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CF44DC" w14:textId="77777777" w:rsidR="00127A76" w:rsidRDefault="00127A76" w:rsidP="009A1966">
            <w:r>
              <w:rPr>
                <w:rFonts w:ascii="Times New Roman" w:eastAsia="Times New Roman" w:hAnsi="Times New Roman" w:cs="Times New Roman"/>
                <w:sz w:val="22"/>
                <w:szCs w:val="22"/>
              </w:rPr>
              <w:t>Breach notification</w:t>
            </w:r>
          </w:p>
        </w:tc>
      </w:tr>
      <w:tr w:rsidR="00127A76" w14:paraId="2197A528" w14:textId="77777777" w:rsidTr="009A1966">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8C8C23" w14:textId="77777777" w:rsidR="00127A76" w:rsidRDefault="00127A76" w:rsidP="009A1966">
            <w:r>
              <w:rPr>
                <w:rFonts w:ascii="Times New Roman" w:eastAsia="Times New Roman" w:hAnsi="Times New Roman" w:cs="Times New Roman"/>
                <w:sz w:val="22"/>
                <w:szCs w:val="22"/>
              </w:rPr>
              <w:lastRenderedPageBreak/>
              <w:t>Audit Logging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90316" w14:textId="77777777" w:rsidR="00127A76" w:rsidRDefault="00127A76" w:rsidP="009A1966">
            <w:r>
              <w:rPr>
                <w:rFonts w:ascii="Times New Roman" w:eastAsia="Times New Roman" w:hAnsi="Times New Roman" w:cs="Times New Roman"/>
                <w:sz w:val="22"/>
                <w:szCs w:val="22"/>
              </w:rPr>
              <w:t>CloudWatch Logs / structured JSON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28642B" w14:textId="77777777" w:rsidR="00127A76" w:rsidRDefault="00127A76" w:rsidP="009A1966">
            <w:r>
              <w:rPr>
                <w:rFonts w:ascii="Times New Roman" w:eastAsia="Times New Roman" w:hAnsi="Times New Roman" w:cs="Times New Roman"/>
                <w:sz w:val="22"/>
                <w:szCs w:val="22"/>
              </w:rPr>
              <w:t>Event traceability</w:t>
            </w:r>
          </w:p>
        </w:tc>
      </w:tr>
    </w:tbl>
    <w:p w14:paraId="6B00323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344AAB84" w14:textId="77777777" w:rsidR="00127A76" w:rsidRDefault="00127A76" w:rsidP="00127A76">
      <w:pPr>
        <w:spacing w:before="240" w:after="240"/>
        <w:ind w:left="360"/>
        <w:jc w:val="both"/>
        <w:rPr>
          <w:rFonts w:ascii="Times New Roman" w:eastAsia="Times New Roman" w:hAnsi="Times New Roman" w:cs="Times New Roman"/>
          <w:b/>
          <w:bCs/>
          <w:color w:val="000000" w:themeColor="text1"/>
          <w:sz w:val="22"/>
          <w:szCs w:val="22"/>
          <w:lang w:val="en-IN"/>
        </w:rPr>
        <w:sectPr w:rsidR="00127A76" w:rsidSect="00127A76">
          <w:type w:val="continuous"/>
          <w:pgSz w:w="11906" w:h="16838"/>
          <w:pgMar w:top="1440" w:right="1440" w:bottom="1440" w:left="1440" w:header="720" w:footer="720" w:gutter="0"/>
          <w:cols w:space="720"/>
          <w:docGrid w:linePitch="360"/>
        </w:sectPr>
      </w:pPr>
    </w:p>
    <w:p w14:paraId="019344EF"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4.9 Security Considerations</w:t>
      </w:r>
    </w:p>
    <w:p w14:paraId="09C831B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migration methodology introduces several security-sensitive operations — including cross-cloud API access, container image transfer, and DNS record modification — that require careful access control design. The following security principles are enforced throughout the methodology:</w:t>
      </w:r>
    </w:p>
    <w:p w14:paraId="6027BF06"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Least-privilege IAM policies: Each system component is granted only the specific API permissions required for its function. The Decision Engine requires read-only access to CloudWatch and Cost Explorer; the Orchestrator requires write access to EKS, ECR, and Route 53 record sets, but not to IAM or networking resources.</w:t>
      </w:r>
    </w:p>
    <w:p w14:paraId="6FD83F74"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Secrets management: Cloud provider credentials and </w:t>
      </w:r>
      <w:proofErr w:type="spellStart"/>
      <w:r w:rsidRPr="00127A76">
        <w:rPr>
          <w:rFonts w:ascii="Times New Roman" w:eastAsia="Times New Roman" w:hAnsi="Times New Roman" w:cs="Times New Roman"/>
          <w:color w:val="000000" w:themeColor="text1"/>
          <w:sz w:val="22"/>
          <w:szCs w:val="22"/>
          <w:lang w:val="en-IN"/>
        </w:rPr>
        <w:t>kubeconfig</w:t>
      </w:r>
      <w:proofErr w:type="spellEnd"/>
      <w:r w:rsidRPr="00127A76">
        <w:rPr>
          <w:rFonts w:ascii="Times New Roman" w:eastAsia="Times New Roman" w:hAnsi="Times New Roman" w:cs="Times New Roman"/>
          <w:color w:val="000000" w:themeColor="text1"/>
          <w:sz w:val="22"/>
          <w:szCs w:val="22"/>
          <w:lang w:val="en-IN"/>
        </w:rPr>
        <w:t xml:space="preserve"> files are never stored in source code repositories. They are injected at runtime from secrets management services such as AWS Secrets Manager or </w:t>
      </w:r>
      <w:proofErr w:type="spellStart"/>
      <w:r w:rsidRPr="00127A76">
        <w:rPr>
          <w:rFonts w:ascii="Times New Roman" w:eastAsia="Times New Roman" w:hAnsi="Times New Roman" w:cs="Times New Roman"/>
          <w:color w:val="000000" w:themeColor="text1"/>
          <w:sz w:val="22"/>
          <w:szCs w:val="22"/>
          <w:lang w:val="en-IN"/>
        </w:rPr>
        <w:t>HashiCorp</w:t>
      </w:r>
      <w:proofErr w:type="spellEnd"/>
      <w:r w:rsidRPr="00127A76">
        <w:rPr>
          <w:rFonts w:ascii="Times New Roman" w:eastAsia="Times New Roman" w:hAnsi="Times New Roman" w:cs="Times New Roman"/>
          <w:color w:val="000000" w:themeColor="text1"/>
          <w:sz w:val="22"/>
          <w:szCs w:val="22"/>
          <w:lang w:val="en-IN"/>
        </w:rPr>
        <w:t xml:space="preserve"> Vault.</w:t>
      </w:r>
    </w:p>
    <w:p w14:paraId="56072772"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Container image integrity: All images in the container registry are signed using OCI image signing standards and verified by the orchestrator before deployment. Unsigned or tampered images are rejected prior to the deployment phase.</w:t>
      </w:r>
    </w:p>
    <w:p w14:paraId="6B81263D"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 DNS record access control: Route 53 hosted zone record modification is restricted to the orchestrator's IAM role using resource-level policies. No other system component or user role has </w:t>
      </w:r>
      <w:proofErr w:type="gramStart"/>
      <w:r w:rsidRPr="00127A76">
        <w:rPr>
          <w:rFonts w:ascii="Times New Roman" w:eastAsia="Times New Roman" w:hAnsi="Times New Roman" w:cs="Times New Roman"/>
          <w:color w:val="000000" w:themeColor="text1"/>
          <w:sz w:val="22"/>
          <w:szCs w:val="22"/>
          <w:lang w:val="en-IN"/>
        </w:rPr>
        <w:t>write</w:t>
      </w:r>
      <w:proofErr w:type="gramEnd"/>
      <w:r w:rsidRPr="00127A76">
        <w:rPr>
          <w:rFonts w:ascii="Times New Roman" w:eastAsia="Times New Roman" w:hAnsi="Times New Roman" w:cs="Times New Roman"/>
          <w:color w:val="000000" w:themeColor="text1"/>
          <w:sz w:val="22"/>
          <w:szCs w:val="22"/>
          <w:lang w:val="en-IN"/>
        </w:rPr>
        <w:t xml:space="preserve"> access to DNS records.</w:t>
      </w:r>
    </w:p>
    <w:p w14:paraId="54A4EC98"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p>
    <w:p w14:paraId="56155590"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b/>
          <w:bCs/>
          <w:color w:val="000000" w:themeColor="text1"/>
          <w:sz w:val="22"/>
          <w:szCs w:val="22"/>
          <w:lang w:val="en-IN"/>
        </w:rPr>
        <w:t>4.10 Summary of the Proposed Methodology</w:t>
      </w:r>
    </w:p>
    <w:p w14:paraId="0B80670F"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proposed methodology establishes a complete, formally specified pipeline for intelligent multi-cloud workload migration. By organizing the migration process into five distinct phases — workload assessment and containerization, continuous monitoring and trigger evaluation, multi-criteria cloud selection, migration orchestration and deployment, and DNS-based traffic cutover — the methodology addresses each of the research gaps identified in Section 2.2.</w:t>
      </w:r>
    </w:p>
    <w:p w14:paraId="57FE5395"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The debounced trigger mechanism in Phase 2 prevents reactive migrations driven by transient workload spikes. The normalized multi-criteria scoring algorithm in Phase 3 provides a transparent, auditable basis for cloud selection that integrates cost, latency, availability, compliance, and resource capacity into a single comparable score. The atomic, rollback-safe deployment procedure in Phase 4 ensures that failed migrations do not expose users to degraded service. The weighted DNS transition strategy in Phase 5 — combined with low-TTL pre-staging and the decommissioning hold period — minimizes user-facing service interruption to a window of 30–60 seconds during traffic cutover while maintaining an instant rollback capability throughout the transition.</w:t>
      </w:r>
    </w:p>
    <w:p w14:paraId="52D9709E"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lang w:val="en-IN"/>
        </w:rPr>
      </w:pPr>
      <w:r w:rsidRPr="00127A76">
        <w:rPr>
          <w:rFonts w:ascii="Times New Roman" w:eastAsia="Times New Roman" w:hAnsi="Times New Roman" w:cs="Times New Roman"/>
          <w:color w:val="000000" w:themeColor="text1"/>
          <w:sz w:val="22"/>
          <w:szCs w:val="22"/>
          <w:lang w:val="en-IN"/>
        </w:rPr>
        <w:t xml:space="preserve">Collectively, these mechanisms realize the core system objective: enabling organizations to migrate containerized workloads across heterogeneous public cloud providers in a decision-driven, service-continuous, and economically optimized manner. The following section </w:t>
      </w:r>
      <w:r w:rsidRPr="00127A76">
        <w:rPr>
          <w:rFonts w:ascii="Times New Roman" w:eastAsia="Times New Roman" w:hAnsi="Times New Roman" w:cs="Times New Roman"/>
          <w:color w:val="000000" w:themeColor="text1"/>
          <w:sz w:val="22"/>
          <w:szCs w:val="22"/>
          <w:lang w:val="en-IN"/>
        </w:rPr>
        <w:lastRenderedPageBreak/>
        <w:t xml:space="preserve">presents the experimental evaluation methodology used to validate the proposed </w:t>
      </w:r>
      <w:r w:rsidRPr="00127A76">
        <w:rPr>
          <w:rFonts w:ascii="Times New Roman" w:eastAsia="Times New Roman" w:hAnsi="Times New Roman" w:cs="Times New Roman"/>
          <w:color w:val="000000" w:themeColor="text1"/>
          <w:sz w:val="22"/>
          <w:szCs w:val="22"/>
          <w:lang w:val="en-IN"/>
        </w:rPr>
        <w:t>approach under simulated multi-cloud conditions.</w:t>
      </w:r>
    </w:p>
    <w:p w14:paraId="2FA2BC4C" w14:textId="77777777" w:rsidR="00127A76" w:rsidRDefault="00127A76" w:rsidP="00127A76">
      <w:pPr>
        <w:spacing w:before="240" w:after="240"/>
        <w:ind w:left="360"/>
        <w:jc w:val="both"/>
        <w:rPr>
          <w:rFonts w:ascii="Times New Roman" w:eastAsia="Times New Roman" w:hAnsi="Times New Roman" w:cs="Times New Roman"/>
          <w:color w:val="000000" w:themeColor="text1"/>
          <w:sz w:val="22"/>
          <w:szCs w:val="22"/>
        </w:rPr>
        <w:sectPr w:rsidR="00127A76" w:rsidSect="00127A76">
          <w:type w:val="continuous"/>
          <w:pgSz w:w="11906" w:h="16838"/>
          <w:pgMar w:top="1440" w:right="1440" w:bottom="1440" w:left="1440" w:header="720" w:footer="720" w:gutter="0"/>
          <w:cols w:num="2" w:space="720"/>
          <w:docGrid w:linePitch="360"/>
        </w:sectPr>
      </w:pPr>
    </w:p>
    <w:p w14:paraId="236C663B" w14:textId="77777777" w:rsidR="00127A76" w:rsidRPr="00127A76" w:rsidRDefault="00127A76" w:rsidP="00127A76">
      <w:pPr>
        <w:spacing w:before="240" w:after="240"/>
        <w:ind w:left="360"/>
        <w:jc w:val="both"/>
        <w:rPr>
          <w:rFonts w:ascii="Times New Roman" w:eastAsia="Times New Roman" w:hAnsi="Times New Roman" w:cs="Times New Roman"/>
          <w:color w:val="000000" w:themeColor="text1"/>
          <w:sz w:val="22"/>
          <w:szCs w:val="22"/>
        </w:rPr>
      </w:pPr>
    </w:p>
    <w:p w14:paraId="7C96CD56" w14:textId="5E54F0DB" w:rsidR="34EEC583" w:rsidRDefault="34EEC583" w:rsidP="34EEC583">
      <w:pPr>
        <w:jc w:val="both"/>
      </w:pPr>
    </w:p>
    <w:p w14:paraId="52EF3BA3" w14:textId="77777777" w:rsidR="00703384" w:rsidRDefault="00703384" w:rsidP="34EEC583">
      <w:pPr>
        <w:jc w:val="both"/>
      </w:pPr>
    </w:p>
    <w:p w14:paraId="42541F93" w14:textId="77777777" w:rsidR="00703384" w:rsidRDefault="00703384" w:rsidP="34EEC583">
      <w:pPr>
        <w:jc w:val="both"/>
      </w:pPr>
    </w:p>
    <w:p w14:paraId="762AF844" w14:textId="77777777" w:rsidR="00703384" w:rsidRDefault="00703384" w:rsidP="34EEC583">
      <w:pPr>
        <w:jc w:val="both"/>
      </w:pPr>
    </w:p>
    <w:p w14:paraId="6D3A5678" w14:textId="77777777" w:rsidR="00703384" w:rsidRDefault="00703384" w:rsidP="34EEC583">
      <w:pPr>
        <w:jc w:val="both"/>
      </w:pPr>
    </w:p>
    <w:p w14:paraId="0D0E3807" w14:textId="77777777" w:rsidR="00703384" w:rsidRDefault="00703384" w:rsidP="34EEC583">
      <w:pPr>
        <w:jc w:val="both"/>
      </w:pPr>
    </w:p>
    <w:p w14:paraId="0483A1A9" w14:textId="77777777" w:rsidR="00703384" w:rsidRDefault="00703384" w:rsidP="34EEC583">
      <w:pPr>
        <w:jc w:val="both"/>
      </w:pPr>
    </w:p>
    <w:p w14:paraId="748ED9E3" w14:textId="77777777" w:rsidR="00703384" w:rsidRDefault="00703384" w:rsidP="34EEC583">
      <w:pPr>
        <w:jc w:val="both"/>
      </w:pPr>
    </w:p>
    <w:p w14:paraId="5804FD4C" w14:textId="0D476BC6" w:rsidR="00703384" w:rsidRDefault="008D1634" w:rsidP="34EEC583">
      <w:pPr>
        <w:jc w:val="both"/>
      </w:pPr>
      <w:r>
        <w:t xml:space="preserve"> </w:t>
      </w:r>
    </w:p>
    <w:p w14:paraId="1AF2ACD7" w14:textId="77777777" w:rsidR="00703384" w:rsidRDefault="00703384" w:rsidP="34EEC583">
      <w:pPr>
        <w:jc w:val="both"/>
      </w:pPr>
    </w:p>
    <w:p w14:paraId="49FE3AC2" w14:textId="77777777" w:rsidR="00703384" w:rsidRDefault="00703384" w:rsidP="34EEC583">
      <w:pPr>
        <w:jc w:val="both"/>
      </w:pPr>
    </w:p>
    <w:p w14:paraId="434A69C5" w14:textId="77777777" w:rsidR="00703384" w:rsidRDefault="00703384" w:rsidP="34EEC583">
      <w:pPr>
        <w:jc w:val="both"/>
      </w:pPr>
    </w:p>
    <w:p w14:paraId="5D36765A" w14:textId="0D674147" w:rsidR="00703384" w:rsidRDefault="00703384">
      <w:r>
        <w:br w:type="page"/>
      </w:r>
    </w:p>
    <w:p w14:paraId="45840499" w14:textId="77777777" w:rsidR="00703384" w:rsidRPr="00703384" w:rsidRDefault="00703384" w:rsidP="00703384">
      <w:pPr>
        <w:jc w:val="both"/>
        <w:rPr>
          <w:b/>
          <w:bCs/>
          <w:sz w:val="34"/>
          <w:szCs w:val="34"/>
          <w:lang w:val="en-IN"/>
        </w:rPr>
      </w:pPr>
      <w:r w:rsidRPr="00703384">
        <w:rPr>
          <w:b/>
          <w:bCs/>
          <w:sz w:val="34"/>
          <w:szCs w:val="34"/>
          <w:lang w:val="en-IN"/>
        </w:rPr>
        <w:lastRenderedPageBreak/>
        <w:t>REFERENCES</w:t>
      </w:r>
    </w:p>
    <w:p w14:paraId="74B135E0"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 P. S. Junior, D. </w:t>
      </w:r>
      <w:proofErr w:type="spellStart"/>
      <w:r w:rsidRPr="00703384">
        <w:rPr>
          <w:rFonts w:ascii="Times New Roman" w:hAnsi="Times New Roman" w:cs="Times New Roman"/>
          <w:sz w:val="22"/>
          <w:szCs w:val="22"/>
          <w:lang w:val="en-IN"/>
        </w:rPr>
        <w:t>Miorandi</w:t>
      </w:r>
      <w:proofErr w:type="spellEnd"/>
      <w:r w:rsidRPr="00703384">
        <w:rPr>
          <w:rFonts w:ascii="Times New Roman" w:hAnsi="Times New Roman" w:cs="Times New Roman"/>
          <w:sz w:val="22"/>
          <w:szCs w:val="22"/>
          <w:lang w:val="en-IN"/>
        </w:rPr>
        <w:t xml:space="preserve">, and G. Pierre, “Stateful Container Migration in Geo-Distributed Environments,” in </w:t>
      </w:r>
      <w:r w:rsidRPr="00703384">
        <w:rPr>
          <w:rFonts w:ascii="Times New Roman" w:hAnsi="Times New Roman" w:cs="Times New Roman"/>
          <w:i/>
          <w:iCs/>
          <w:sz w:val="22"/>
          <w:szCs w:val="22"/>
          <w:lang w:val="en-IN"/>
        </w:rPr>
        <w:t>Proc. IEEE Int. Conf. Cloud Computing Technology and Science</w:t>
      </w:r>
      <w:r w:rsidRPr="00703384">
        <w:rPr>
          <w:rFonts w:ascii="Times New Roman" w:hAnsi="Times New Roman" w:cs="Times New Roman"/>
          <w:sz w:val="22"/>
          <w:szCs w:val="22"/>
          <w:lang w:val="en-IN"/>
        </w:rPr>
        <w:t>, 2020.</w:t>
      </w:r>
    </w:p>
    <w:p w14:paraId="4D6CB97A"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[2] F. </w:t>
      </w:r>
      <w:proofErr w:type="spellStart"/>
      <w:r w:rsidRPr="00703384">
        <w:rPr>
          <w:rFonts w:ascii="Times New Roman" w:hAnsi="Times New Roman" w:cs="Times New Roman"/>
          <w:sz w:val="22"/>
          <w:szCs w:val="22"/>
          <w:lang w:val="en-IN"/>
        </w:rPr>
        <w:t>Barbarulo</w:t>
      </w:r>
      <w:proofErr w:type="spellEnd"/>
      <w:r w:rsidRPr="00703384">
        <w:rPr>
          <w:rFonts w:ascii="Times New Roman" w:hAnsi="Times New Roman" w:cs="Times New Roman"/>
          <w:sz w:val="22"/>
          <w:szCs w:val="22"/>
          <w:lang w:val="en-IN"/>
        </w:rPr>
        <w:t xml:space="preserve">, C. </w:t>
      </w:r>
      <w:proofErr w:type="spellStart"/>
      <w:r w:rsidRPr="00703384">
        <w:rPr>
          <w:rFonts w:ascii="Times New Roman" w:hAnsi="Times New Roman" w:cs="Times New Roman"/>
          <w:sz w:val="22"/>
          <w:szCs w:val="22"/>
          <w:lang w:val="en-IN"/>
        </w:rPr>
        <w:t>Puliafito</w:t>
      </w:r>
      <w:proofErr w:type="spellEnd"/>
      <w:r w:rsidRPr="00703384">
        <w:rPr>
          <w:rFonts w:ascii="Times New Roman" w:hAnsi="Times New Roman" w:cs="Times New Roman"/>
          <w:sz w:val="22"/>
          <w:szCs w:val="22"/>
          <w:lang w:val="en-IN"/>
        </w:rPr>
        <w:t xml:space="preserve">, A. Virdis, and F. Longo, “Extending ETSI MEC Towards Stateful Application Relocation Based on Container Migration,” in </w:t>
      </w:r>
      <w:r w:rsidRPr="00703384">
        <w:rPr>
          <w:rFonts w:ascii="Times New Roman" w:hAnsi="Times New Roman" w:cs="Times New Roman"/>
          <w:i/>
          <w:iCs/>
          <w:sz w:val="22"/>
          <w:szCs w:val="22"/>
          <w:lang w:val="en-IN"/>
        </w:rPr>
        <w:t xml:space="preserve">Proc. IEEE </w:t>
      </w:r>
      <w:proofErr w:type="spellStart"/>
      <w:r w:rsidRPr="00703384">
        <w:rPr>
          <w:rFonts w:ascii="Times New Roman" w:hAnsi="Times New Roman" w:cs="Times New Roman"/>
          <w:i/>
          <w:iCs/>
          <w:sz w:val="22"/>
          <w:szCs w:val="22"/>
          <w:lang w:val="en-IN"/>
        </w:rPr>
        <w:t>NetSoft</w:t>
      </w:r>
      <w:proofErr w:type="spellEnd"/>
      <w:r w:rsidRPr="00703384">
        <w:rPr>
          <w:rFonts w:ascii="Times New Roman" w:hAnsi="Times New Roman" w:cs="Times New Roman"/>
          <w:sz w:val="22"/>
          <w:szCs w:val="22"/>
          <w:lang w:val="en-IN"/>
        </w:rPr>
        <w:t>, 2022.</w:t>
      </w:r>
    </w:p>
    <w:p w14:paraId="5F1454C3"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[3] K. Janarthanan and P. </w:t>
      </w:r>
      <w:proofErr w:type="spellStart"/>
      <w:r w:rsidRPr="00703384">
        <w:rPr>
          <w:rFonts w:ascii="Times New Roman" w:hAnsi="Times New Roman" w:cs="Times New Roman"/>
          <w:sz w:val="22"/>
          <w:szCs w:val="22"/>
          <w:lang w:val="en-IN"/>
        </w:rPr>
        <w:t>Peramune</w:t>
      </w:r>
      <w:proofErr w:type="spellEnd"/>
      <w:r w:rsidRPr="00703384">
        <w:rPr>
          <w:rFonts w:ascii="Times New Roman" w:hAnsi="Times New Roman" w:cs="Times New Roman"/>
          <w:sz w:val="22"/>
          <w:szCs w:val="22"/>
          <w:lang w:val="en-IN"/>
        </w:rPr>
        <w:t xml:space="preserve">, “Policies Based Container Migration Using Cross-Cloud Management Platform,” in </w:t>
      </w:r>
      <w:r w:rsidRPr="00703384">
        <w:rPr>
          <w:rFonts w:ascii="Times New Roman" w:hAnsi="Times New Roman" w:cs="Times New Roman"/>
          <w:i/>
          <w:iCs/>
          <w:sz w:val="22"/>
          <w:szCs w:val="22"/>
          <w:lang w:val="en-IN"/>
        </w:rPr>
        <w:t>Proc. IEEE Int. Conf. Information Networking</w:t>
      </w:r>
      <w:r w:rsidRPr="00703384">
        <w:rPr>
          <w:rFonts w:ascii="Times New Roman" w:hAnsi="Times New Roman" w:cs="Times New Roman"/>
          <w:sz w:val="22"/>
          <w:szCs w:val="22"/>
          <w:lang w:val="en-IN"/>
        </w:rPr>
        <w:t>, 2018.</w:t>
      </w:r>
    </w:p>
    <w:p w14:paraId="2A0495B5"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[4] X. Yin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“Cloud Migration Consistency Model Based on Data Characteristics,” in </w:t>
      </w:r>
      <w:r w:rsidRPr="00703384">
        <w:rPr>
          <w:rFonts w:ascii="Times New Roman" w:hAnsi="Times New Roman" w:cs="Times New Roman"/>
          <w:i/>
          <w:iCs/>
          <w:sz w:val="22"/>
          <w:szCs w:val="22"/>
          <w:lang w:val="en-IN"/>
        </w:rPr>
        <w:t>Proc. IEEE ITAIC</w:t>
      </w:r>
      <w:r w:rsidRPr="00703384">
        <w:rPr>
          <w:rFonts w:ascii="Times New Roman" w:hAnsi="Times New Roman" w:cs="Times New Roman"/>
          <w:sz w:val="22"/>
          <w:szCs w:val="22"/>
          <w:lang w:val="en-IN"/>
        </w:rPr>
        <w:t>, 2022.</w:t>
      </w:r>
    </w:p>
    <w:p w14:paraId="0CF00491"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[5] A. Gorbenko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“Analysis of Trade-offs in Fault-Tolerant Distributed Computing and Replicated Databases,” in </w:t>
      </w:r>
      <w:r w:rsidRPr="00703384">
        <w:rPr>
          <w:rFonts w:ascii="Times New Roman" w:hAnsi="Times New Roman" w:cs="Times New Roman"/>
          <w:i/>
          <w:iCs/>
          <w:sz w:val="22"/>
          <w:szCs w:val="22"/>
          <w:lang w:val="en-IN"/>
        </w:rPr>
        <w:t>Proc. IEEE DSA</w:t>
      </w:r>
      <w:r w:rsidRPr="00703384">
        <w:rPr>
          <w:rFonts w:ascii="Times New Roman" w:hAnsi="Times New Roman" w:cs="Times New Roman"/>
          <w:sz w:val="22"/>
          <w:szCs w:val="22"/>
          <w:lang w:val="en-IN"/>
        </w:rPr>
        <w:t>, 2020.</w:t>
      </w:r>
    </w:p>
    <w:p w14:paraId="6EEBF0E9"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[6] M. Su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“Systematic Data Placement Optimization in Multi-Cloud Storage for Complex Requirements,” </w:t>
      </w:r>
      <w:r w:rsidRPr="00703384">
        <w:rPr>
          <w:rFonts w:ascii="Times New Roman" w:hAnsi="Times New Roman" w:cs="Times New Roman"/>
          <w:i/>
          <w:iCs/>
          <w:sz w:val="22"/>
          <w:szCs w:val="22"/>
          <w:lang w:val="en-IN"/>
        </w:rPr>
        <w:t>IEEE Trans. Cloud Computing</w:t>
      </w:r>
      <w:r w:rsidRPr="00703384">
        <w:rPr>
          <w:rFonts w:ascii="Times New Roman" w:hAnsi="Times New Roman" w:cs="Times New Roman"/>
          <w:sz w:val="22"/>
          <w:szCs w:val="22"/>
          <w:lang w:val="en-IN"/>
        </w:rPr>
        <w:t>, 2015.</w:t>
      </w:r>
    </w:p>
    <w:p w14:paraId="6C860A5C"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[7] P. </w:t>
      </w:r>
      <w:proofErr w:type="spellStart"/>
      <w:r w:rsidRPr="00703384">
        <w:rPr>
          <w:rFonts w:ascii="Times New Roman" w:hAnsi="Times New Roman" w:cs="Times New Roman"/>
          <w:sz w:val="22"/>
          <w:szCs w:val="22"/>
          <w:lang w:val="en-IN"/>
        </w:rPr>
        <w:t>Malleni</w:t>
      </w:r>
      <w:proofErr w:type="spellEnd"/>
      <w:r w:rsidRPr="00703384">
        <w:rPr>
          <w:rFonts w:ascii="Times New Roman" w:hAnsi="Times New Roman" w:cs="Times New Roman"/>
          <w:sz w:val="22"/>
          <w:szCs w:val="22"/>
          <w:lang w:val="en-IN"/>
        </w:rPr>
        <w:t xml:space="preserve">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“Bridging Clusters: A Performance Evaluation of Multi-Cluster Kubernetes Networking,” in </w:t>
      </w:r>
      <w:r w:rsidRPr="00703384">
        <w:rPr>
          <w:rFonts w:ascii="Times New Roman" w:hAnsi="Times New Roman" w:cs="Times New Roman"/>
          <w:i/>
          <w:iCs/>
          <w:sz w:val="22"/>
          <w:szCs w:val="22"/>
          <w:lang w:val="en-IN"/>
        </w:rPr>
        <w:t>Proc. ACM ICPE</w:t>
      </w:r>
      <w:r w:rsidRPr="00703384">
        <w:rPr>
          <w:rFonts w:ascii="Times New Roman" w:hAnsi="Times New Roman" w:cs="Times New Roman"/>
          <w:sz w:val="22"/>
          <w:szCs w:val="22"/>
          <w:lang w:val="en-IN"/>
        </w:rPr>
        <w:t>, 2025.</w:t>
      </w:r>
    </w:p>
    <w:p w14:paraId="6D486507"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[8] C. Michaelis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“L3: Latency-Aware Load Balancing in Multi-Cluster Service Mesh,” in </w:t>
      </w:r>
      <w:r w:rsidRPr="00703384">
        <w:rPr>
          <w:rFonts w:ascii="Times New Roman" w:hAnsi="Times New Roman" w:cs="Times New Roman"/>
          <w:i/>
          <w:iCs/>
          <w:sz w:val="22"/>
          <w:szCs w:val="22"/>
          <w:lang w:val="en-IN"/>
        </w:rPr>
        <w:t>Proc. ACM Middleware</w:t>
      </w:r>
      <w:r w:rsidRPr="00703384">
        <w:rPr>
          <w:rFonts w:ascii="Times New Roman" w:hAnsi="Times New Roman" w:cs="Times New Roman"/>
          <w:sz w:val="22"/>
          <w:szCs w:val="22"/>
          <w:lang w:val="en-IN"/>
        </w:rPr>
        <w:t>, 2024.</w:t>
      </w:r>
    </w:p>
    <w:p w14:paraId="0D58B642"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[9] Z. Wang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“Efficient Multi-Cluster Scheduling for Heterogeneous Workloads,” </w:t>
      </w:r>
      <w:r w:rsidRPr="00703384">
        <w:rPr>
          <w:rFonts w:ascii="Times New Roman" w:hAnsi="Times New Roman" w:cs="Times New Roman"/>
          <w:i/>
          <w:iCs/>
          <w:sz w:val="22"/>
          <w:szCs w:val="22"/>
          <w:lang w:val="en-IN"/>
        </w:rPr>
        <w:t>IEEE Access</w:t>
      </w:r>
      <w:r w:rsidRPr="00703384">
        <w:rPr>
          <w:rFonts w:ascii="Times New Roman" w:hAnsi="Times New Roman" w:cs="Times New Roman"/>
          <w:sz w:val="22"/>
          <w:szCs w:val="22"/>
          <w:lang w:val="en-IN"/>
        </w:rPr>
        <w:t>, 2025.</w:t>
      </w:r>
    </w:p>
    <w:p w14:paraId="1F54A712"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[10] N. Kumar and R. T. Selvi, “</w:t>
      </w:r>
      <w:proofErr w:type="spellStart"/>
      <w:r w:rsidRPr="00703384">
        <w:rPr>
          <w:rFonts w:ascii="Times New Roman" w:hAnsi="Times New Roman" w:cs="Times New Roman"/>
          <w:sz w:val="22"/>
          <w:szCs w:val="22"/>
          <w:lang w:val="en-IN"/>
        </w:rPr>
        <w:t>Crossplane</w:t>
      </w:r>
      <w:proofErr w:type="spellEnd"/>
      <w:r w:rsidRPr="00703384">
        <w:rPr>
          <w:rFonts w:ascii="Times New Roman" w:hAnsi="Times New Roman" w:cs="Times New Roman"/>
          <w:sz w:val="22"/>
          <w:szCs w:val="22"/>
          <w:lang w:val="en-IN"/>
        </w:rPr>
        <w:t xml:space="preserve">: A Unified Framework for Multi-Cloud Infrastructure Management,” in </w:t>
      </w:r>
      <w:r w:rsidRPr="00703384">
        <w:rPr>
          <w:rFonts w:ascii="Times New Roman" w:hAnsi="Times New Roman" w:cs="Times New Roman"/>
          <w:i/>
          <w:iCs/>
          <w:sz w:val="22"/>
          <w:szCs w:val="22"/>
          <w:lang w:val="en-IN"/>
        </w:rPr>
        <w:t>Proc. IEEE Int. Conf.</w:t>
      </w:r>
      <w:r w:rsidRPr="00703384">
        <w:rPr>
          <w:rFonts w:ascii="Times New Roman" w:hAnsi="Times New Roman" w:cs="Times New Roman"/>
          <w:sz w:val="22"/>
          <w:szCs w:val="22"/>
          <w:lang w:val="en-IN"/>
        </w:rPr>
        <w:t>, 2025.</w:t>
      </w:r>
    </w:p>
    <w:p w14:paraId="0D9A0DA5"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[11] P. Bhowmick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“TTL Violation of DNS Resolvers in the Wild,” in </w:t>
      </w:r>
      <w:r w:rsidRPr="00703384">
        <w:rPr>
          <w:rFonts w:ascii="Times New Roman" w:hAnsi="Times New Roman" w:cs="Times New Roman"/>
          <w:i/>
          <w:iCs/>
          <w:sz w:val="22"/>
          <w:szCs w:val="22"/>
          <w:lang w:val="en-IN"/>
        </w:rPr>
        <w:t>Proc. PAM</w:t>
      </w:r>
      <w:r w:rsidRPr="00703384">
        <w:rPr>
          <w:rFonts w:ascii="Times New Roman" w:hAnsi="Times New Roman" w:cs="Times New Roman"/>
          <w:sz w:val="22"/>
          <w:szCs w:val="22"/>
          <w:lang w:val="en-IN"/>
        </w:rPr>
        <w:t>, 2023.</w:t>
      </w:r>
    </w:p>
    <w:p w14:paraId="6A0A3DF1"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[12] S. Dikshit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“Evaluating DNS Resiliency and Responsiveness,” </w:t>
      </w:r>
      <w:r w:rsidRPr="00703384">
        <w:rPr>
          <w:rFonts w:ascii="Times New Roman" w:hAnsi="Times New Roman" w:cs="Times New Roman"/>
          <w:i/>
          <w:iCs/>
          <w:sz w:val="22"/>
          <w:szCs w:val="22"/>
          <w:lang w:val="en-IN"/>
        </w:rPr>
        <w:t>IEEE Trans. Network and Service Management</w:t>
      </w:r>
      <w:r w:rsidRPr="00703384">
        <w:rPr>
          <w:rFonts w:ascii="Times New Roman" w:hAnsi="Times New Roman" w:cs="Times New Roman"/>
          <w:sz w:val="22"/>
          <w:szCs w:val="22"/>
          <w:lang w:val="en-IN"/>
        </w:rPr>
        <w:t>, 2026.</w:t>
      </w:r>
    </w:p>
    <w:p w14:paraId="25F73FF0"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[13] A. F. W. Andrian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“Design and Implementation of a CDN Testbed for Performance Evaluation of NGINX-Based Content Distribution,” in </w:t>
      </w:r>
      <w:r w:rsidRPr="00703384">
        <w:rPr>
          <w:rFonts w:ascii="Times New Roman" w:hAnsi="Times New Roman" w:cs="Times New Roman"/>
          <w:i/>
          <w:iCs/>
          <w:sz w:val="22"/>
          <w:szCs w:val="22"/>
          <w:lang w:val="en-IN"/>
        </w:rPr>
        <w:t>Proc. IEEE Int. Conf.</w:t>
      </w:r>
      <w:r w:rsidRPr="00703384">
        <w:rPr>
          <w:rFonts w:ascii="Times New Roman" w:hAnsi="Times New Roman" w:cs="Times New Roman"/>
          <w:sz w:val="22"/>
          <w:szCs w:val="22"/>
          <w:lang w:val="en-IN"/>
        </w:rPr>
        <w:t>, 2025.</w:t>
      </w:r>
    </w:p>
    <w:p w14:paraId="195C978E"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[14] G. </w:t>
      </w:r>
      <w:proofErr w:type="spellStart"/>
      <w:r w:rsidRPr="00703384">
        <w:rPr>
          <w:rFonts w:ascii="Times New Roman" w:hAnsi="Times New Roman" w:cs="Times New Roman"/>
          <w:sz w:val="22"/>
          <w:szCs w:val="22"/>
          <w:lang w:val="en-IN"/>
        </w:rPr>
        <w:t>Merugu</w:t>
      </w:r>
      <w:proofErr w:type="spellEnd"/>
      <w:r w:rsidRPr="00703384">
        <w:rPr>
          <w:rFonts w:ascii="Times New Roman" w:hAnsi="Times New Roman" w:cs="Times New Roman"/>
          <w:sz w:val="22"/>
          <w:szCs w:val="22"/>
          <w:lang w:val="en-IN"/>
        </w:rPr>
        <w:t xml:space="preserve">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“Geo-Intelligent DNS Resolver Using Deep Learning,” in </w:t>
      </w:r>
      <w:r w:rsidRPr="00703384">
        <w:rPr>
          <w:rFonts w:ascii="Times New Roman" w:hAnsi="Times New Roman" w:cs="Times New Roman"/>
          <w:i/>
          <w:iCs/>
          <w:sz w:val="22"/>
          <w:szCs w:val="22"/>
          <w:lang w:val="en-IN"/>
        </w:rPr>
        <w:t>Proc. IEEE Int. Conf.</w:t>
      </w:r>
      <w:r w:rsidRPr="00703384">
        <w:rPr>
          <w:rFonts w:ascii="Times New Roman" w:hAnsi="Times New Roman" w:cs="Times New Roman"/>
          <w:sz w:val="22"/>
          <w:szCs w:val="22"/>
          <w:lang w:val="en-IN"/>
        </w:rPr>
        <w:t>, 2025.</w:t>
      </w:r>
    </w:p>
    <w:p w14:paraId="102EF35D"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[15] F. Spinelli, L. Iannone, and J. Tollet, “Multi-Cloud Chaining with Segment Routing,” in </w:t>
      </w:r>
      <w:r w:rsidRPr="00703384">
        <w:rPr>
          <w:rFonts w:ascii="Times New Roman" w:hAnsi="Times New Roman" w:cs="Times New Roman"/>
          <w:i/>
          <w:iCs/>
          <w:sz w:val="22"/>
          <w:szCs w:val="22"/>
          <w:lang w:val="en-IN"/>
        </w:rPr>
        <w:t>Proc. IFIP Networking</w:t>
      </w:r>
      <w:r w:rsidRPr="00703384">
        <w:rPr>
          <w:rFonts w:ascii="Times New Roman" w:hAnsi="Times New Roman" w:cs="Times New Roman"/>
          <w:sz w:val="22"/>
          <w:szCs w:val="22"/>
          <w:lang w:val="en-IN"/>
        </w:rPr>
        <w:t>, 2020.</w:t>
      </w:r>
    </w:p>
    <w:p w14:paraId="743AE2EA"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[16] N. Khorasani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“Cloud Broker: A Systematic Mapping Study,” in </w:t>
      </w:r>
      <w:r w:rsidRPr="00703384">
        <w:rPr>
          <w:rFonts w:ascii="Times New Roman" w:hAnsi="Times New Roman" w:cs="Times New Roman"/>
          <w:i/>
          <w:iCs/>
          <w:sz w:val="22"/>
          <w:szCs w:val="22"/>
          <w:lang w:val="en-IN"/>
        </w:rPr>
        <w:t>Proc. IEEE Services Computing</w:t>
      </w:r>
      <w:r w:rsidRPr="00703384">
        <w:rPr>
          <w:rFonts w:ascii="Times New Roman" w:hAnsi="Times New Roman" w:cs="Times New Roman"/>
          <w:sz w:val="22"/>
          <w:szCs w:val="22"/>
          <w:lang w:val="en-IN"/>
        </w:rPr>
        <w:t>, 2024.</w:t>
      </w:r>
    </w:p>
    <w:p w14:paraId="12202AB0"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[17] A. </w:t>
      </w:r>
      <w:proofErr w:type="spellStart"/>
      <w:r w:rsidRPr="00703384">
        <w:rPr>
          <w:rFonts w:ascii="Times New Roman" w:hAnsi="Times New Roman" w:cs="Times New Roman"/>
          <w:sz w:val="22"/>
          <w:szCs w:val="22"/>
          <w:lang w:val="en-IN"/>
        </w:rPr>
        <w:t>Zibitsker</w:t>
      </w:r>
      <w:proofErr w:type="spellEnd"/>
      <w:r w:rsidRPr="00703384">
        <w:rPr>
          <w:rFonts w:ascii="Times New Roman" w:hAnsi="Times New Roman" w:cs="Times New Roman"/>
          <w:sz w:val="22"/>
          <w:szCs w:val="22"/>
          <w:lang w:val="en-IN"/>
        </w:rPr>
        <w:t xml:space="preserve"> and E. Lupersolsky, “Cost Optimization in Hybrid Multi-Cloud Environments,” in </w:t>
      </w:r>
      <w:r w:rsidRPr="00703384">
        <w:rPr>
          <w:rFonts w:ascii="Times New Roman" w:hAnsi="Times New Roman" w:cs="Times New Roman"/>
          <w:i/>
          <w:iCs/>
          <w:sz w:val="22"/>
          <w:szCs w:val="22"/>
          <w:lang w:val="en-IN"/>
        </w:rPr>
        <w:t>Proc. ACM ICPE</w:t>
      </w:r>
      <w:r w:rsidRPr="00703384">
        <w:rPr>
          <w:rFonts w:ascii="Times New Roman" w:hAnsi="Times New Roman" w:cs="Times New Roman"/>
          <w:sz w:val="22"/>
          <w:szCs w:val="22"/>
          <w:lang w:val="en-IN"/>
        </w:rPr>
        <w:t>, 2025.</w:t>
      </w:r>
    </w:p>
    <w:p w14:paraId="77126931"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[18] B. Liu, Y. Xin, and C. Zhang, “A Solution for a Disaster Recovery Service System in Multi-Cloud Environment,” in </w:t>
      </w:r>
      <w:r w:rsidRPr="00703384">
        <w:rPr>
          <w:rFonts w:ascii="Times New Roman" w:hAnsi="Times New Roman" w:cs="Times New Roman"/>
          <w:i/>
          <w:iCs/>
          <w:sz w:val="22"/>
          <w:szCs w:val="22"/>
          <w:lang w:val="en-IN"/>
        </w:rPr>
        <w:t>Proc. Int. Conf. Applied Computing</w:t>
      </w:r>
      <w:r w:rsidRPr="00703384">
        <w:rPr>
          <w:rFonts w:ascii="Times New Roman" w:hAnsi="Times New Roman" w:cs="Times New Roman"/>
          <w:sz w:val="22"/>
          <w:szCs w:val="22"/>
          <w:lang w:val="en-IN"/>
        </w:rPr>
        <w:t>, 2022.</w:t>
      </w:r>
    </w:p>
    <w:p w14:paraId="185A730A"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lastRenderedPageBreak/>
        <w:t xml:space="preserve">[19] T. Suyatno </w:t>
      </w:r>
      <w:r w:rsidRPr="00703384">
        <w:rPr>
          <w:rFonts w:ascii="Times New Roman" w:hAnsi="Times New Roman" w:cs="Times New Roman"/>
          <w:i/>
          <w:iCs/>
          <w:sz w:val="22"/>
          <w:szCs w:val="22"/>
          <w:lang w:val="en-IN"/>
        </w:rPr>
        <w:t>et al.</w:t>
      </w:r>
      <w:r w:rsidRPr="00703384">
        <w:rPr>
          <w:rFonts w:ascii="Times New Roman" w:hAnsi="Times New Roman" w:cs="Times New Roman"/>
          <w:sz w:val="22"/>
          <w:szCs w:val="22"/>
          <w:lang w:val="en-IN"/>
        </w:rPr>
        <w:t xml:space="preserve">, “Disaster Recovery Strategy: RTO and RPO Analysis on On-Premises and Cloud Infrastructure,” in </w:t>
      </w:r>
      <w:r w:rsidRPr="00703384">
        <w:rPr>
          <w:rFonts w:ascii="Times New Roman" w:hAnsi="Times New Roman" w:cs="Times New Roman"/>
          <w:i/>
          <w:iCs/>
          <w:sz w:val="22"/>
          <w:szCs w:val="22"/>
          <w:lang w:val="en-IN"/>
        </w:rPr>
        <w:t>Proc. Int. Conf. Advancement in Data Science</w:t>
      </w:r>
      <w:r w:rsidRPr="00703384">
        <w:rPr>
          <w:rFonts w:ascii="Times New Roman" w:hAnsi="Times New Roman" w:cs="Times New Roman"/>
          <w:sz w:val="22"/>
          <w:szCs w:val="22"/>
          <w:lang w:val="en-IN"/>
        </w:rPr>
        <w:t>, 2025.</w:t>
      </w:r>
    </w:p>
    <w:p w14:paraId="60FC1262" w14:textId="77777777" w:rsidR="00703384" w:rsidRPr="00703384" w:rsidRDefault="00703384" w:rsidP="00703384">
      <w:pPr>
        <w:jc w:val="both"/>
        <w:rPr>
          <w:rFonts w:ascii="Times New Roman" w:hAnsi="Times New Roman" w:cs="Times New Roman"/>
          <w:sz w:val="22"/>
          <w:szCs w:val="22"/>
          <w:lang w:val="en-IN"/>
        </w:rPr>
      </w:pPr>
      <w:r w:rsidRPr="00703384">
        <w:rPr>
          <w:rFonts w:ascii="Times New Roman" w:hAnsi="Times New Roman" w:cs="Times New Roman"/>
          <w:sz w:val="22"/>
          <w:szCs w:val="22"/>
          <w:lang w:val="en-IN"/>
        </w:rPr>
        <w:t xml:space="preserve">[20] P. Anand, M. Sharma, and A. </w:t>
      </w:r>
      <w:proofErr w:type="spellStart"/>
      <w:r w:rsidRPr="00703384">
        <w:rPr>
          <w:rFonts w:ascii="Times New Roman" w:hAnsi="Times New Roman" w:cs="Times New Roman"/>
          <w:sz w:val="22"/>
          <w:szCs w:val="22"/>
          <w:lang w:val="en-IN"/>
        </w:rPr>
        <w:t>Saroliya</w:t>
      </w:r>
      <w:proofErr w:type="spellEnd"/>
      <w:r w:rsidRPr="00703384">
        <w:rPr>
          <w:rFonts w:ascii="Times New Roman" w:hAnsi="Times New Roman" w:cs="Times New Roman"/>
          <w:sz w:val="22"/>
          <w:szCs w:val="22"/>
          <w:lang w:val="en-IN"/>
        </w:rPr>
        <w:t xml:space="preserve">, “Comparative Analysis of RTO and RPO in AWS and GCP and </w:t>
      </w:r>
      <w:proofErr w:type="spellStart"/>
      <w:r w:rsidRPr="00703384">
        <w:rPr>
          <w:rFonts w:ascii="Times New Roman" w:hAnsi="Times New Roman" w:cs="Times New Roman"/>
          <w:sz w:val="22"/>
          <w:szCs w:val="22"/>
          <w:lang w:val="en-IN"/>
        </w:rPr>
        <w:t>DRaaS</w:t>
      </w:r>
      <w:proofErr w:type="spellEnd"/>
      <w:r w:rsidRPr="00703384">
        <w:rPr>
          <w:rFonts w:ascii="Times New Roman" w:hAnsi="Times New Roman" w:cs="Times New Roman"/>
          <w:sz w:val="22"/>
          <w:szCs w:val="22"/>
          <w:lang w:val="en-IN"/>
        </w:rPr>
        <w:t xml:space="preserve">,” in </w:t>
      </w:r>
      <w:r w:rsidRPr="00703384">
        <w:rPr>
          <w:rFonts w:ascii="Times New Roman" w:hAnsi="Times New Roman" w:cs="Times New Roman"/>
          <w:i/>
          <w:iCs/>
          <w:sz w:val="22"/>
          <w:szCs w:val="22"/>
          <w:lang w:val="en-IN"/>
        </w:rPr>
        <w:t>Proc. IEEE UP Section Int. Conf.</w:t>
      </w:r>
      <w:r w:rsidRPr="00703384">
        <w:rPr>
          <w:rFonts w:ascii="Times New Roman" w:hAnsi="Times New Roman" w:cs="Times New Roman"/>
          <w:sz w:val="22"/>
          <w:szCs w:val="22"/>
          <w:lang w:val="en-IN"/>
        </w:rPr>
        <w:t>, 2023.</w:t>
      </w:r>
    </w:p>
    <w:p w14:paraId="4D3FE775" w14:textId="77777777" w:rsidR="00703384" w:rsidRPr="00703384" w:rsidRDefault="00703384" w:rsidP="34EEC583">
      <w:pPr>
        <w:jc w:val="both"/>
        <w:rPr>
          <w:rFonts w:ascii="Times New Roman" w:hAnsi="Times New Roman" w:cs="Times New Roman"/>
          <w:sz w:val="22"/>
          <w:szCs w:val="22"/>
        </w:rPr>
      </w:pPr>
    </w:p>
    <w:p w14:paraId="78917E82" w14:textId="331EA4DA" w:rsidR="34EEC583" w:rsidRPr="00703384" w:rsidRDefault="34EEC583" w:rsidP="34EEC583">
      <w:pPr>
        <w:spacing w:before="240" w:after="240"/>
        <w:jc w:val="both"/>
        <w:rPr>
          <w:rFonts w:ascii="Times New Roman" w:eastAsia="Times New Roman" w:hAnsi="Times New Roman" w:cs="Times New Roman"/>
          <w:b/>
          <w:bCs/>
          <w:color w:val="000000" w:themeColor="text1"/>
          <w:sz w:val="22"/>
          <w:szCs w:val="22"/>
        </w:rPr>
      </w:pPr>
    </w:p>
    <w:sectPr w:rsidR="34EEC583" w:rsidRPr="00703384" w:rsidSect="00127A76">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C56AD" w14:textId="77777777" w:rsidR="0070282D" w:rsidRDefault="0070282D">
      <w:pPr>
        <w:spacing w:after="0" w:line="240" w:lineRule="auto"/>
      </w:pPr>
      <w:r>
        <w:separator/>
      </w:r>
    </w:p>
  </w:endnote>
  <w:endnote w:type="continuationSeparator" w:id="0">
    <w:p w14:paraId="0DA50718" w14:textId="77777777" w:rsidR="0070282D" w:rsidRDefault="00702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E62992E" w14:paraId="0B1C0AF6" w14:textId="77777777" w:rsidTr="0E62992E">
      <w:trPr>
        <w:trHeight w:val="300"/>
      </w:trPr>
      <w:tc>
        <w:tcPr>
          <w:tcW w:w="3005" w:type="dxa"/>
        </w:tcPr>
        <w:p w14:paraId="1006E2A7" w14:textId="0B5C1E1A" w:rsidR="0E62992E" w:rsidRDefault="0E62992E" w:rsidP="0E62992E">
          <w:pPr>
            <w:pStyle w:val="Header"/>
            <w:ind w:left="-115"/>
          </w:pPr>
        </w:p>
      </w:tc>
      <w:tc>
        <w:tcPr>
          <w:tcW w:w="3005" w:type="dxa"/>
        </w:tcPr>
        <w:p w14:paraId="56C1EE8E" w14:textId="78793233" w:rsidR="0E62992E" w:rsidRDefault="0E62992E" w:rsidP="0E62992E">
          <w:pPr>
            <w:pStyle w:val="Header"/>
            <w:jc w:val="center"/>
          </w:pPr>
        </w:p>
      </w:tc>
      <w:tc>
        <w:tcPr>
          <w:tcW w:w="3005" w:type="dxa"/>
        </w:tcPr>
        <w:p w14:paraId="1C1C5EF8" w14:textId="4AF58568" w:rsidR="0E62992E" w:rsidRDefault="0E62992E" w:rsidP="0E62992E">
          <w:pPr>
            <w:pStyle w:val="Header"/>
            <w:ind w:right="-115"/>
            <w:jc w:val="right"/>
          </w:pPr>
        </w:p>
      </w:tc>
    </w:tr>
  </w:tbl>
  <w:p w14:paraId="24ABB0EE" w14:textId="54B9C2BE" w:rsidR="0E62992E" w:rsidRDefault="0E6299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E62992E" w14:paraId="26157B88" w14:textId="77777777" w:rsidTr="0E62992E">
      <w:trPr>
        <w:trHeight w:val="300"/>
      </w:trPr>
      <w:tc>
        <w:tcPr>
          <w:tcW w:w="3005" w:type="dxa"/>
        </w:tcPr>
        <w:p w14:paraId="4C45B409" w14:textId="6B72C0E9" w:rsidR="0E62992E" w:rsidRDefault="0E62992E" w:rsidP="0E62992E">
          <w:pPr>
            <w:pStyle w:val="Header"/>
            <w:ind w:left="-115"/>
          </w:pPr>
        </w:p>
      </w:tc>
      <w:tc>
        <w:tcPr>
          <w:tcW w:w="3005" w:type="dxa"/>
        </w:tcPr>
        <w:p w14:paraId="0BF9A9B6" w14:textId="79B3487F" w:rsidR="0E62992E" w:rsidRDefault="0E62992E" w:rsidP="0E62992E">
          <w:pPr>
            <w:pStyle w:val="Header"/>
            <w:jc w:val="center"/>
          </w:pPr>
        </w:p>
      </w:tc>
      <w:tc>
        <w:tcPr>
          <w:tcW w:w="3005" w:type="dxa"/>
        </w:tcPr>
        <w:p w14:paraId="5787923A" w14:textId="571939E7" w:rsidR="0E62992E" w:rsidRDefault="0E62992E" w:rsidP="0E62992E">
          <w:pPr>
            <w:pStyle w:val="Header"/>
            <w:ind w:right="-115"/>
            <w:jc w:val="right"/>
          </w:pPr>
        </w:p>
      </w:tc>
    </w:tr>
  </w:tbl>
  <w:p w14:paraId="18D50F8A" w14:textId="63ED0CF3" w:rsidR="0E62992E" w:rsidRDefault="0E62992E" w:rsidP="0E629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6877" w14:textId="77777777" w:rsidR="0070282D" w:rsidRDefault="0070282D">
      <w:pPr>
        <w:spacing w:after="0" w:line="240" w:lineRule="auto"/>
      </w:pPr>
      <w:r>
        <w:separator/>
      </w:r>
    </w:p>
  </w:footnote>
  <w:footnote w:type="continuationSeparator" w:id="0">
    <w:p w14:paraId="66AF528E" w14:textId="77777777" w:rsidR="0070282D" w:rsidRDefault="00702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E62992E" w14:paraId="78D0CC50" w14:textId="77777777" w:rsidTr="0E62992E">
      <w:trPr>
        <w:trHeight w:val="300"/>
      </w:trPr>
      <w:tc>
        <w:tcPr>
          <w:tcW w:w="3005" w:type="dxa"/>
        </w:tcPr>
        <w:p w14:paraId="60175923" w14:textId="4026F725" w:rsidR="0E62992E" w:rsidRDefault="0E62992E" w:rsidP="0E62992E">
          <w:pPr>
            <w:pStyle w:val="Header"/>
            <w:ind w:left="-115"/>
          </w:pPr>
        </w:p>
      </w:tc>
      <w:tc>
        <w:tcPr>
          <w:tcW w:w="3005" w:type="dxa"/>
        </w:tcPr>
        <w:p w14:paraId="600910FC" w14:textId="24E277C9" w:rsidR="0E62992E" w:rsidRDefault="0E62992E" w:rsidP="0E62992E">
          <w:pPr>
            <w:pStyle w:val="Header"/>
            <w:jc w:val="center"/>
          </w:pPr>
        </w:p>
      </w:tc>
      <w:tc>
        <w:tcPr>
          <w:tcW w:w="3005" w:type="dxa"/>
        </w:tcPr>
        <w:p w14:paraId="45BE79E1" w14:textId="639F519E" w:rsidR="0E62992E" w:rsidRDefault="0E62992E" w:rsidP="0E62992E">
          <w:pPr>
            <w:pStyle w:val="Header"/>
            <w:ind w:right="-115"/>
            <w:jc w:val="right"/>
          </w:pPr>
        </w:p>
      </w:tc>
    </w:tr>
  </w:tbl>
  <w:p w14:paraId="619D4D23" w14:textId="53BF5582" w:rsidR="0E62992E" w:rsidRDefault="0E62992E" w:rsidP="0E6299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9015"/>
    </w:tblGrid>
    <w:tr w:rsidR="0E62992E" w14:paraId="42E70E91" w14:textId="77777777" w:rsidTr="0E62992E">
      <w:trPr>
        <w:trHeight w:val="300"/>
      </w:trPr>
      <w:tc>
        <w:tcPr>
          <w:tcW w:w="9015" w:type="dxa"/>
        </w:tcPr>
        <w:p w14:paraId="0B477897" w14:textId="6AC7377B" w:rsidR="0E62992E" w:rsidRDefault="0E62992E" w:rsidP="0E62992E">
          <w:pPr>
            <w:pStyle w:val="Heading2"/>
            <w:spacing w:before="360"/>
            <w:jc w:val="center"/>
          </w:pPr>
          <w:r w:rsidRPr="0E62992E">
            <w:rPr>
              <w:rFonts w:ascii="Times New Roman" w:eastAsia="Times New Roman" w:hAnsi="Times New Roman" w:cs="Times New Roman"/>
              <w:b/>
              <w:bCs/>
              <w:color w:val="000000" w:themeColor="text1"/>
              <w:sz w:val="40"/>
              <w:szCs w:val="40"/>
            </w:rPr>
            <w:t>Smart Multi-Cloud Workload Migration Using Containerization and DNS-Based Service Continuity</w:t>
          </w:r>
        </w:p>
        <w:p w14:paraId="66B3969C" w14:textId="782E12E4" w:rsidR="0E62992E" w:rsidRDefault="0E62992E" w:rsidP="0E62992E">
          <w:pPr>
            <w:spacing w:after="0"/>
            <w:jc w:val="center"/>
          </w:pPr>
          <w:r w:rsidRPr="0E62992E">
            <w:rPr>
              <w:rFonts w:ascii="Arial" w:eastAsia="Arial" w:hAnsi="Arial" w:cs="Arial"/>
              <w:color w:val="000000" w:themeColor="text1"/>
              <w:sz w:val="22"/>
              <w:szCs w:val="22"/>
            </w:rPr>
            <w:t>Department of Information Technology</w:t>
          </w:r>
        </w:p>
        <w:p w14:paraId="47F7BF57" w14:textId="76E16F81" w:rsidR="0E62992E" w:rsidRDefault="0E62992E" w:rsidP="0E62992E">
          <w:pPr>
            <w:spacing w:after="0"/>
            <w:jc w:val="center"/>
          </w:pPr>
          <w:r w:rsidRPr="0E62992E">
            <w:rPr>
              <w:rFonts w:ascii="Arial" w:eastAsia="Arial" w:hAnsi="Arial" w:cs="Arial"/>
              <w:color w:val="000000" w:themeColor="text1"/>
              <w:sz w:val="22"/>
              <w:szCs w:val="22"/>
            </w:rPr>
            <w:t>VIIT</w:t>
          </w:r>
        </w:p>
        <w:p w14:paraId="4EC12DFE" w14:textId="390E1BC4" w:rsidR="0E62992E" w:rsidRDefault="0E62992E" w:rsidP="0E62992E">
          <w:pPr>
            <w:pStyle w:val="Header"/>
            <w:ind w:left="-115"/>
          </w:pPr>
        </w:p>
      </w:tc>
    </w:tr>
  </w:tbl>
  <w:p w14:paraId="720CA6FF" w14:textId="124965CF" w:rsidR="0E62992E" w:rsidRDefault="0E62992E" w:rsidP="0E6299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F169"/>
    <w:multiLevelType w:val="hybridMultilevel"/>
    <w:tmpl w:val="11D69174"/>
    <w:lvl w:ilvl="0" w:tplc="BC0E0BFA">
      <w:start w:val="1"/>
      <w:numFmt w:val="decimal"/>
      <w:lvlText w:val="%1."/>
      <w:lvlJc w:val="left"/>
      <w:pPr>
        <w:ind w:left="720" w:hanging="360"/>
      </w:pPr>
    </w:lvl>
    <w:lvl w:ilvl="1" w:tplc="C9BE309A">
      <w:start w:val="1"/>
      <w:numFmt w:val="lowerLetter"/>
      <w:lvlText w:val="%2."/>
      <w:lvlJc w:val="left"/>
      <w:pPr>
        <w:ind w:left="1440" w:hanging="360"/>
      </w:pPr>
    </w:lvl>
    <w:lvl w:ilvl="2" w:tplc="EEDC2B88">
      <w:start w:val="1"/>
      <w:numFmt w:val="lowerRoman"/>
      <w:lvlText w:val="%3."/>
      <w:lvlJc w:val="right"/>
      <w:pPr>
        <w:ind w:left="2160" w:hanging="180"/>
      </w:pPr>
    </w:lvl>
    <w:lvl w:ilvl="3" w:tplc="637AA27C">
      <w:start w:val="1"/>
      <w:numFmt w:val="decimal"/>
      <w:lvlText w:val="%4."/>
      <w:lvlJc w:val="left"/>
      <w:pPr>
        <w:ind w:left="2880" w:hanging="360"/>
      </w:pPr>
    </w:lvl>
    <w:lvl w:ilvl="4" w:tplc="0694DEF8">
      <w:start w:val="1"/>
      <w:numFmt w:val="lowerLetter"/>
      <w:lvlText w:val="%5."/>
      <w:lvlJc w:val="left"/>
      <w:pPr>
        <w:ind w:left="3600" w:hanging="360"/>
      </w:pPr>
    </w:lvl>
    <w:lvl w:ilvl="5" w:tplc="6562BCF6">
      <w:start w:val="1"/>
      <w:numFmt w:val="lowerRoman"/>
      <w:lvlText w:val="%6."/>
      <w:lvlJc w:val="right"/>
      <w:pPr>
        <w:ind w:left="4320" w:hanging="180"/>
      </w:pPr>
    </w:lvl>
    <w:lvl w:ilvl="6" w:tplc="C45A51C2">
      <w:start w:val="1"/>
      <w:numFmt w:val="decimal"/>
      <w:lvlText w:val="%7."/>
      <w:lvlJc w:val="left"/>
      <w:pPr>
        <w:ind w:left="5040" w:hanging="360"/>
      </w:pPr>
    </w:lvl>
    <w:lvl w:ilvl="7" w:tplc="19A07F8E">
      <w:start w:val="1"/>
      <w:numFmt w:val="lowerLetter"/>
      <w:lvlText w:val="%8."/>
      <w:lvlJc w:val="left"/>
      <w:pPr>
        <w:ind w:left="5760" w:hanging="360"/>
      </w:pPr>
    </w:lvl>
    <w:lvl w:ilvl="8" w:tplc="E054AB34">
      <w:start w:val="1"/>
      <w:numFmt w:val="lowerRoman"/>
      <w:lvlText w:val="%9."/>
      <w:lvlJc w:val="right"/>
      <w:pPr>
        <w:ind w:left="6480" w:hanging="180"/>
      </w:pPr>
    </w:lvl>
  </w:abstractNum>
  <w:abstractNum w:abstractNumId="1" w15:restartNumberingAfterBreak="0">
    <w:nsid w:val="09AB18AB"/>
    <w:multiLevelType w:val="hybridMultilevel"/>
    <w:tmpl w:val="052CB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90C408"/>
    <w:multiLevelType w:val="multilevel"/>
    <w:tmpl w:val="6206DED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21C25A41"/>
    <w:multiLevelType w:val="hybridMultilevel"/>
    <w:tmpl w:val="5B600DBA"/>
    <w:lvl w:ilvl="0" w:tplc="40090001">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4" w15:restartNumberingAfterBreak="0">
    <w:nsid w:val="38632052"/>
    <w:multiLevelType w:val="multilevel"/>
    <w:tmpl w:val="8D72D9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3C597244"/>
    <w:multiLevelType w:val="hybridMultilevel"/>
    <w:tmpl w:val="ECDA17EA"/>
    <w:lvl w:ilvl="0" w:tplc="40090001">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6" w15:restartNumberingAfterBreak="0">
    <w:nsid w:val="4457FBFD"/>
    <w:multiLevelType w:val="hybridMultilevel"/>
    <w:tmpl w:val="5538B740"/>
    <w:lvl w:ilvl="0" w:tplc="B4908946">
      <w:start w:val="1"/>
      <w:numFmt w:val="decimal"/>
      <w:lvlText w:val="%1."/>
      <w:lvlJc w:val="left"/>
      <w:pPr>
        <w:ind w:left="720" w:hanging="360"/>
      </w:pPr>
    </w:lvl>
    <w:lvl w:ilvl="1" w:tplc="C0168940">
      <w:start w:val="1"/>
      <w:numFmt w:val="lowerLetter"/>
      <w:lvlText w:val="%2."/>
      <w:lvlJc w:val="left"/>
      <w:pPr>
        <w:ind w:left="1440" w:hanging="360"/>
      </w:pPr>
    </w:lvl>
    <w:lvl w:ilvl="2" w:tplc="051EB912">
      <w:start w:val="1"/>
      <w:numFmt w:val="lowerRoman"/>
      <w:lvlText w:val="%3."/>
      <w:lvlJc w:val="right"/>
      <w:pPr>
        <w:ind w:left="2160" w:hanging="180"/>
      </w:pPr>
    </w:lvl>
    <w:lvl w:ilvl="3" w:tplc="7B0E6BE4">
      <w:start w:val="1"/>
      <w:numFmt w:val="decimal"/>
      <w:lvlText w:val="%4."/>
      <w:lvlJc w:val="left"/>
      <w:pPr>
        <w:ind w:left="2880" w:hanging="360"/>
      </w:pPr>
    </w:lvl>
    <w:lvl w:ilvl="4" w:tplc="83BC35B8">
      <w:start w:val="1"/>
      <w:numFmt w:val="lowerLetter"/>
      <w:lvlText w:val="%5."/>
      <w:lvlJc w:val="left"/>
      <w:pPr>
        <w:ind w:left="3600" w:hanging="360"/>
      </w:pPr>
    </w:lvl>
    <w:lvl w:ilvl="5" w:tplc="3766CB20">
      <w:start w:val="1"/>
      <w:numFmt w:val="lowerRoman"/>
      <w:lvlText w:val="%6."/>
      <w:lvlJc w:val="right"/>
      <w:pPr>
        <w:ind w:left="4320" w:hanging="180"/>
      </w:pPr>
    </w:lvl>
    <w:lvl w:ilvl="6" w:tplc="09A8C56A">
      <w:start w:val="1"/>
      <w:numFmt w:val="decimal"/>
      <w:lvlText w:val="%7."/>
      <w:lvlJc w:val="left"/>
      <w:pPr>
        <w:ind w:left="5040" w:hanging="360"/>
      </w:pPr>
    </w:lvl>
    <w:lvl w:ilvl="7" w:tplc="1F960AE0">
      <w:start w:val="1"/>
      <w:numFmt w:val="lowerLetter"/>
      <w:lvlText w:val="%8."/>
      <w:lvlJc w:val="left"/>
      <w:pPr>
        <w:ind w:left="5760" w:hanging="360"/>
      </w:pPr>
    </w:lvl>
    <w:lvl w:ilvl="8" w:tplc="83164E76">
      <w:start w:val="1"/>
      <w:numFmt w:val="lowerRoman"/>
      <w:lvlText w:val="%9."/>
      <w:lvlJc w:val="right"/>
      <w:pPr>
        <w:ind w:left="6480" w:hanging="180"/>
      </w:pPr>
    </w:lvl>
  </w:abstractNum>
  <w:abstractNum w:abstractNumId="7" w15:restartNumberingAfterBreak="0">
    <w:nsid w:val="4EB890D2"/>
    <w:multiLevelType w:val="multilevel"/>
    <w:tmpl w:val="355464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5AD07EEB"/>
    <w:multiLevelType w:val="multilevel"/>
    <w:tmpl w:val="B2AADB6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6487D5DD"/>
    <w:multiLevelType w:val="hybridMultilevel"/>
    <w:tmpl w:val="96BAC81A"/>
    <w:lvl w:ilvl="0" w:tplc="26E80972">
      <w:start w:val="1"/>
      <w:numFmt w:val="decimal"/>
      <w:lvlText w:val="%1."/>
      <w:lvlJc w:val="left"/>
      <w:pPr>
        <w:ind w:left="720" w:hanging="360"/>
      </w:pPr>
    </w:lvl>
    <w:lvl w:ilvl="1" w:tplc="C580788A">
      <w:start w:val="1"/>
      <w:numFmt w:val="lowerLetter"/>
      <w:lvlText w:val="%2."/>
      <w:lvlJc w:val="left"/>
      <w:pPr>
        <w:ind w:left="1440" w:hanging="360"/>
      </w:pPr>
    </w:lvl>
    <w:lvl w:ilvl="2" w:tplc="ECC61300">
      <w:start w:val="1"/>
      <w:numFmt w:val="lowerRoman"/>
      <w:lvlText w:val="%3."/>
      <w:lvlJc w:val="right"/>
      <w:pPr>
        <w:ind w:left="2160" w:hanging="180"/>
      </w:pPr>
    </w:lvl>
    <w:lvl w:ilvl="3" w:tplc="31BE9C78">
      <w:start w:val="1"/>
      <w:numFmt w:val="decimal"/>
      <w:lvlText w:val="%4."/>
      <w:lvlJc w:val="left"/>
      <w:pPr>
        <w:ind w:left="2880" w:hanging="360"/>
      </w:pPr>
    </w:lvl>
    <w:lvl w:ilvl="4" w:tplc="1B804502">
      <w:start w:val="1"/>
      <w:numFmt w:val="lowerLetter"/>
      <w:lvlText w:val="%5."/>
      <w:lvlJc w:val="left"/>
      <w:pPr>
        <w:ind w:left="3600" w:hanging="360"/>
      </w:pPr>
    </w:lvl>
    <w:lvl w:ilvl="5" w:tplc="C3900C8A">
      <w:start w:val="1"/>
      <w:numFmt w:val="lowerRoman"/>
      <w:lvlText w:val="%6."/>
      <w:lvlJc w:val="right"/>
      <w:pPr>
        <w:ind w:left="4320" w:hanging="180"/>
      </w:pPr>
    </w:lvl>
    <w:lvl w:ilvl="6" w:tplc="8318D024">
      <w:start w:val="1"/>
      <w:numFmt w:val="decimal"/>
      <w:lvlText w:val="%7."/>
      <w:lvlJc w:val="left"/>
      <w:pPr>
        <w:ind w:left="5040" w:hanging="360"/>
      </w:pPr>
    </w:lvl>
    <w:lvl w:ilvl="7" w:tplc="96D278CE">
      <w:start w:val="1"/>
      <w:numFmt w:val="lowerLetter"/>
      <w:lvlText w:val="%8."/>
      <w:lvlJc w:val="left"/>
      <w:pPr>
        <w:ind w:left="5760" w:hanging="360"/>
      </w:pPr>
    </w:lvl>
    <w:lvl w:ilvl="8" w:tplc="03A89334">
      <w:start w:val="1"/>
      <w:numFmt w:val="lowerRoman"/>
      <w:lvlText w:val="%9."/>
      <w:lvlJc w:val="right"/>
      <w:pPr>
        <w:ind w:left="6480" w:hanging="180"/>
      </w:pPr>
    </w:lvl>
  </w:abstractNum>
  <w:abstractNum w:abstractNumId="10" w15:restartNumberingAfterBreak="0">
    <w:nsid w:val="73545209"/>
    <w:multiLevelType w:val="multilevel"/>
    <w:tmpl w:val="C2C6A65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79D537B7"/>
    <w:multiLevelType w:val="hybridMultilevel"/>
    <w:tmpl w:val="3CEC7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5033508">
    <w:abstractNumId w:val="9"/>
  </w:num>
  <w:num w:numId="2" w16cid:durableId="1124809460">
    <w:abstractNumId w:val="6"/>
  </w:num>
  <w:num w:numId="3" w16cid:durableId="2012830301">
    <w:abstractNumId w:val="4"/>
  </w:num>
  <w:num w:numId="4" w16cid:durableId="366957317">
    <w:abstractNumId w:val="10"/>
  </w:num>
  <w:num w:numId="5" w16cid:durableId="970094691">
    <w:abstractNumId w:val="8"/>
  </w:num>
  <w:num w:numId="6" w16cid:durableId="96293467">
    <w:abstractNumId w:val="7"/>
  </w:num>
  <w:num w:numId="7" w16cid:durableId="638994197">
    <w:abstractNumId w:val="2"/>
  </w:num>
  <w:num w:numId="8" w16cid:durableId="552816349">
    <w:abstractNumId w:val="0"/>
  </w:num>
  <w:num w:numId="9" w16cid:durableId="1270552396">
    <w:abstractNumId w:val="11"/>
  </w:num>
  <w:num w:numId="10" w16cid:durableId="666790756">
    <w:abstractNumId w:val="3"/>
  </w:num>
  <w:num w:numId="11" w16cid:durableId="1128399242">
    <w:abstractNumId w:val="5"/>
  </w:num>
  <w:num w:numId="12" w16cid:durableId="2123570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EE140E"/>
    <w:rsid w:val="00127A76"/>
    <w:rsid w:val="001E100A"/>
    <w:rsid w:val="003511D7"/>
    <w:rsid w:val="00632297"/>
    <w:rsid w:val="0070282D"/>
    <w:rsid w:val="00703384"/>
    <w:rsid w:val="008D1634"/>
    <w:rsid w:val="00CC7876"/>
    <w:rsid w:val="00DA10CC"/>
    <w:rsid w:val="00E23118"/>
    <w:rsid w:val="00F14704"/>
    <w:rsid w:val="00F841AA"/>
    <w:rsid w:val="0155B107"/>
    <w:rsid w:val="032F9A87"/>
    <w:rsid w:val="0354BE05"/>
    <w:rsid w:val="0445269D"/>
    <w:rsid w:val="05FB8DA0"/>
    <w:rsid w:val="06F46AFB"/>
    <w:rsid w:val="06F4AD93"/>
    <w:rsid w:val="0887CA64"/>
    <w:rsid w:val="093A18C4"/>
    <w:rsid w:val="09674528"/>
    <w:rsid w:val="09B115E8"/>
    <w:rsid w:val="0A438E78"/>
    <w:rsid w:val="0A6BD2C7"/>
    <w:rsid w:val="0B7E98D7"/>
    <w:rsid w:val="0CA36B62"/>
    <w:rsid w:val="0E62992E"/>
    <w:rsid w:val="0E6C0317"/>
    <w:rsid w:val="0EF7DF14"/>
    <w:rsid w:val="0F47C1A9"/>
    <w:rsid w:val="0F7BB592"/>
    <w:rsid w:val="0FD158E3"/>
    <w:rsid w:val="1133F193"/>
    <w:rsid w:val="1195E9C9"/>
    <w:rsid w:val="1296D6C5"/>
    <w:rsid w:val="1430B340"/>
    <w:rsid w:val="145F624C"/>
    <w:rsid w:val="15B6D569"/>
    <w:rsid w:val="163F1897"/>
    <w:rsid w:val="177C6AC4"/>
    <w:rsid w:val="17F29559"/>
    <w:rsid w:val="181247F5"/>
    <w:rsid w:val="18C1894D"/>
    <w:rsid w:val="1963A8FD"/>
    <w:rsid w:val="1C4EFAB2"/>
    <w:rsid w:val="1CF656AC"/>
    <w:rsid w:val="1D81C10C"/>
    <w:rsid w:val="1F281FA0"/>
    <w:rsid w:val="1FF826EB"/>
    <w:rsid w:val="21698ED9"/>
    <w:rsid w:val="21B3BCEC"/>
    <w:rsid w:val="227C088B"/>
    <w:rsid w:val="22D423AD"/>
    <w:rsid w:val="22E3D9A4"/>
    <w:rsid w:val="2310EC07"/>
    <w:rsid w:val="23B20949"/>
    <w:rsid w:val="249F34F8"/>
    <w:rsid w:val="2516C8CC"/>
    <w:rsid w:val="25A53F23"/>
    <w:rsid w:val="25BDC95A"/>
    <w:rsid w:val="26640353"/>
    <w:rsid w:val="26F0E694"/>
    <w:rsid w:val="26FB0B2A"/>
    <w:rsid w:val="27488801"/>
    <w:rsid w:val="2776EA9B"/>
    <w:rsid w:val="27BAAF9C"/>
    <w:rsid w:val="29A2B3A0"/>
    <w:rsid w:val="29A694B2"/>
    <w:rsid w:val="2A75A811"/>
    <w:rsid w:val="2A927473"/>
    <w:rsid w:val="2AA324FF"/>
    <w:rsid w:val="2B2D566A"/>
    <w:rsid w:val="2B577E08"/>
    <w:rsid w:val="2B7A9B85"/>
    <w:rsid w:val="2BDA96A7"/>
    <w:rsid w:val="2BFD06DE"/>
    <w:rsid w:val="2D7DF028"/>
    <w:rsid w:val="2ED5866D"/>
    <w:rsid w:val="2EFE4884"/>
    <w:rsid w:val="2FA2D8BA"/>
    <w:rsid w:val="2FC504EE"/>
    <w:rsid w:val="2FDEA527"/>
    <w:rsid w:val="306163BF"/>
    <w:rsid w:val="31177DA5"/>
    <w:rsid w:val="31620F31"/>
    <w:rsid w:val="3188F038"/>
    <w:rsid w:val="32861441"/>
    <w:rsid w:val="33593650"/>
    <w:rsid w:val="348E4652"/>
    <w:rsid w:val="34EEC583"/>
    <w:rsid w:val="35C9C71C"/>
    <w:rsid w:val="36887123"/>
    <w:rsid w:val="36D70DAA"/>
    <w:rsid w:val="378573D8"/>
    <w:rsid w:val="37B1ED4A"/>
    <w:rsid w:val="385CA425"/>
    <w:rsid w:val="391450EB"/>
    <w:rsid w:val="3C37B379"/>
    <w:rsid w:val="3D72D723"/>
    <w:rsid w:val="3DA56290"/>
    <w:rsid w:val="3E6F0A76"/>
    <w:rsid w:val="3FEE140E"/>
    <w:rsid w:val="40A8FD3C"/>
    <w:rsid w:val="42F9A0AC"/>
    <w:rsid w:val="43648833"/>
    <w:rsid w:val="43AC95F7"/>
    <w:rsid w:val="43CFC42F"/>
    <w:rsid w:val="43E9979F"/>
    <w:rsid w:val="43F18A81"/>
    <w:rsid w:val="48BE7BF1"/>
    <w:rsid w:val="4C5C673F"/>
    <w:rsid w:val="4D3F326E"/>
    <w:rsid w:val="4D698771"/>
    <w:rsid w:val="4F9E8BD5"/>
    <w:rsid w:val="4FA7C156"/>
    <w:rsid w:val="5004EB75"/>
    <w:rsid w:val="50751DD5"/>
    <w:rsid w:val="50E8B153"/>
    <w:rsid w:val="51632D17"/>
    <w:rsid w:val="51A59A17"/>
    <w:rsid w:val="52426EF6"/>
    <w:rsid w:val="52DE27EE"/>
    <w:rsid w:val="535970D5"/>
    <w:rsid w:val="545F6AEB"/>
    <w:rsid w:val="5462B006"/>
    <w:rsid w:val="561FC093"/>
    <w:rsid w:val="57F1C80E"/>
    <w:rsid w:val="590FDBA8"/>
    <w:rsid w:val="594F39D9"/>
    <w:rsid w:val="59BFE1D2"/>
    <w:rsid w:val="5C4DD3FB"/>
    <w:rsid w:val="5DCFF6D2"/>
    <w:rsid w:val="5EA00291"/>
    <w:rsid w:val="60F17AD0"/>
    <w:rsid w:val="6116E7D2"/>
    <w:rsid w:val="62EDA3C2"/>
    <w:rsid w:val="63ADD5E7"/>
    <w:rsid w:val="64D20A18"/>
    <w:rsid w:val="65E0E4C5"/>
    <w:rsid w:val="661CD7B0"/>
    <w:rsid w:val="679B22C1"/>
    <w:rsid w:val="6930CE8A"/>
    <w:rsid w:val="69BE8586"/>
    <w:rsid w:val="6A3D8630"/>
    <w:rsid w:val="6BACD428"/>
    <w:rsid w:val="6E7E3957"/>
    <w:rsid w:val="6F1E7699"/>
    <w:rsid w:val="6F28B33A"/>
    <w:rsid w:val="701CBDC3"/>
    <w:rsid w:val="707B0935"/>
    <w:rsid w:val="709D9447"/>
    <w:rsid w:val="70BBB35E"/>
    <w:rsid w:val="71D89A5B"/>
    <w:rsid w:val="71F79595"/>
    <w:rsid w:val="7323BFD2"/>
    <w:rsid w:val="733537DA"/>
    <w:rsid w:val="73BB12B5"/>
    <w:rsid w:val="73CBCA93"/>
    <w:rsid w:val="776E35E4"/>
    <w:rsid w:val="7775036A"/>
    <w:rsid w:val="784DBB7F"/>
    <w:rsid w:val="78696B25"/>
    <w:rsid w:val="79E07380"/>
    <w:rsid w:val="7A3CAFE6"/>
    <w:rsid w:val="7A5A4330"/>
    <w:rsid w:val="7A83CA46"/>
    <w:rsid w:val="7AA08400"/>
    <w:rsid w:val="7AE97546"/>
    <w:rsid w:val="7AFF52DC"/>
    <w:rsid w:val="7BAE8CD4"/>
    <w:rsid w:val="7C9C6FFD"/>
    <w:rsid w:val="7D365CA3"/>
    <w:rsid w:val="7F0C647A"/>
    <w:rsid w:val="7FEA07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CB417"/>
  <w15:chartTrackingRefBased/>
  <w15:docId w15:val="{C78FD6D8-F5C7-495C-8515-4A682E565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E629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3B20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E62992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E62992E"/>
    <w:pPr>
      <w:tabs>
        <w:tab w:val="center" w:pos="4680"/>
        <w:tab w:val="right" w:pos="9360"/>
      </w:tabs>
      <w:spacing w:after="0" w:line="240" w:lineRule="auto"/>
    </w:pPr>
  </w:style>
  <w:style w:type="paragraph" w:styleId="Footer">
    <w:name w:val="footer"/>
    <w:basedOn w:val="Normal"/>
    <w:uiPriority w:val="99"/>
    <w:unhideWhenUsed/>
    <w:rsid w:val="0E62992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4D698771"/>
    <w:pPr>
      <w:ind w:left="720"/>
      <w:contextualSpacing/>
    </w:pPr>
  </w:style>
  <w:style w:type="paragraph" w:styleId="Caption">
    <w:name w:val="caption"/>
    <w:basedOn w:val="Normal"/>
    <w:next w:val="Normal"/>
    <w:uiPriority w:val="35"/>
    <w:unhideWhenUsed/>
    <w:qFormat/>
    <w:rsid w:val="00F1470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87576-447F-4406-B700-C5BF6120E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30</Pages>
  <Words>12073</Words>
  <Characters>68820</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suhanipandita3@gmail.com</dc:creator>
  <cp:keywords/>
  <dc:description/>
  <cp:lastModifiedBy>Sudhir K</cp:lastModifiedBy>
  <cp:revision>5</cp:revision>
  <dcterms:created xsi:type="dcterms:W3CDTF">2026-03-09T09:48:00Z</dcterms:created>
  <dcterms:modified xsi:type="dcterms:W3CDTF">2026-03-24T07:24:00Z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7640f2a6-c50a-49e9-9db8-117acb5e3db8</vt:lpwstr>
  </property>
</Properties>
</file>