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ftp::Pwd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handle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ftp::Pwd</w:t>
      </w:r>
      <w:r w:rsidDel="00000000" w:rsidR="00000000" w:rsidRPr="00000000">
        <w:rPr>
          <w:shd w:fill="auto" w:val="clear"/>
          <w:rtl w:val="0"/>
        </w:rPr>
        <w:t xml:space="preserve"> command gets the complete path of the current working directory on the ftp server or an empty string if an error occurs.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get directory path</w:t>
        <w:br w:type="textWrapping"/>
        <w:t xml:space="preserve">set current_path [ftp::Pwd $conn]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ftp::Cd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ftp::Type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3.html" TargetMode="External"/><Relationship Id="rId8" Type="http://schemas.openxmlformats.org/officeDocument/2006/relationships/hyperlink" Target="http://docs.google.com/fhelp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