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03c3a10c628c7a03accc0f06bcff851fff8aedc"/>
    <w:p>
      <w:pPr>
        <w:pStyle w:val="Heading1"/>
      </w:pPr>
      <w:r>
        <w:t xml:space="preserve">Knowledge Article: How Long Does Confidentiality Last After a Contract Ends?</w:t>
      </w:r>
    </w:p>
    <w:p>
      <w:pPr>
        <w:pStyle w:val="FirstParagraph"/>
      </w:pPr>
      <w:r>
        <w:t xml:space="preserve">Article ID: KA-0163</w:t>
      </w:r>
      <w:r>
        <w:t xml:space="preserve"> </w:t>
      </w:r>
      <w:r>
        <w:t xml:space="preserve">Category: Legal</w:t>
      </w:r>
    </w:p>
    <w:p>
      <w:pPr>
        <w:pStyle w:val="BodyText"/>
      </w:pPr>
      <w:r>
        <w:t xml:space="preserve">Per the Confidentiality Policy (POL-CONF-004), confidentiality obligations</w:t>
      </w:r>
      <w:r>
        <w:t xml:space="preserve"> </w:t>
      </w:r>
      <w:r>
        <w:t xml:space="preserve">survive contract termination for 3 years. This applies regardless of why</w:t>
      </w:r>
      <w:r>
        <w:t xml:space="preserve"> </w:t>
      </w:r>
      <w:r>
        <w:t xml:space="preserve">the contract ended (expiration, termination for convenience, or termination</w:t>
      </w:r>
      <w:r>
        <w:t xml:space="preserve"> </w:t>
      </w:r>
      <w:r>
        <w:t xml:space="preserve">for cause) and cannot be shortened without Legal approval.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2026-07-28T09:56:11Z</dcterms:created>
  <dcterms:modified xsi:type="dcterms:W3CDTF">2026-07-28T09:56:11Z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