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201ddb2b437eb3fe2cda49b168d04409333e67"/>
    <w:p>
      <w:pPr>
        <w:pStyle w:val="Heading1"/>
      </w:pPr>
      <w:r>
        <w:t xml:space="preserve">Knowledge Article: Contract Compliance Program Overview</w:t>
      </w:r>
    </w:p>
    <w:p>
      <w:pPr>
        <w:pStyle w:val="FirstParagraph"/>
      </w:pPr>
      <w:r>
        <w:t xml:space="preserve">Article ID: KA-0201</w:t>
      </w:r>
      <w:r>
        <w:t xml:space="preserve"> </w:t>
      </w:r>
      <w:r>
        <w:t xml:space="preserve">Category: Program Overview</w:t>
      </w:r>
      <w:r>
        <w:t xml:space="preserve"> </w:t>
      </w:r>
      <w:r>
        <w:t xml:space="preserve">Last Updated: 2026-01-10</w:t>
      </w:r>
    </w:p>
    <w:bookmarkStart w:id="20" w:name="what-this-program-covers"/>
    <w:p>
      <w:pPr>
        <w:pStyle w:val="Heading2"/>
      </w:pPr>
      <w:r>
        <w:t xml:space="preserve">What This Program Covers</w:t>
      </w:r>
    </w:p>
    <w:p>
      <w:pPr>
        <w:pStyle w:val="FirstParagraph"/>
      </w:pPr>
      <w:r>
        <w:t xml:space="preserve">The Contract Compliance program governs how contracts, invoices, and</w:t>
      </w:r>
      <w:r>
        <w:t xml:space="preserve"> </w:t>
      </w:r>
      <w:r>
        <w:t xml:space="preserve">related documents are reviewed, validated, and monitored across their</w:t>
      </w:r>
      <w:r>
        <w:t xml:space="preserve"> </w:t>
      </w:r>
      <w:r>
        <w:t xml:space="preserve">lifecycle, from initial drafting through renewal or termination. It brings</w:t>
      </w:r>
      <w:r>
        <w:t xml:space="preserve"> </w:t>
      </w:r>
      <w:r>
        <w:t xml:space="preserve">together requirements from several policies and SOPs that, read</w:t>
      </w:r>
      <w:r>
        <w:t xml:space="preserve"> </w:t>
      </w:r>
      <w:r>
        <w:t xml:space="preserve">individually, can be hard to apply consistently. This article summarizes</w:t>
      </w:r>
      <w:r>
        <w:t xml:space="preserve"> </w:t>
      </w:r>
      <w:r>
        <w:t xml:space="preserve">how they fit together.</w:t>
      </w:r>
    </w:p>
    <w:bookmarkEnd w:id="20"/>
    <w:bookmarkStart w:id="21" w:name="the-core-documents-and-how-they-relate"/>
    <w:p>
      <w:pPr>
        <w:pStyle w:val="Heading2"/>
      </w:pPr>
      <w:r>
        <w:t xml:space="preserve">The Core Documents and How They Relate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Procurement Policy (POL-PROC-001)</w:t>
      </w:r>
      <w:r>
        <w:t xml:space="preserve"> </w:t>
      </w:r>
      <w:r>
        <w:t xml:space="preserve">sets the baseline: approval</w:t>
      </w:r>
      <w:r>
        <w:t xml:space="preserve"> </w:t>
      </w:r>
      <w:r>
        <w:t xml:space="preserve">thresholds by contract value, mandatory clauses every contract must</w:t>
      </w:r>
      <w:r>
        <w:t xml:space="preserve"> </w:t>
      </w:r>
      <w:r>
        <w:t xml:space="preserve">contain, advance payment restrictions, and invoice tolerance rules.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Information Security Policy (POL-SEC-002)</w:t>
      </w:r>
      <w:r>
        <w:t xml:space="preserve"> </w:t>
      </w:r>
      <w:r>
        <w:t xml:space="preserve">adds a specific</w:t>
      </w:r>
      <w:r>
        <w:t xml:space="preserve"> </w:t>
      </w:r>
      <w:r>
        <w:t xml:space="preserve">requirement on top of the Procurement Policy’s general mandatory-clause</w:t>
      </w:r>
      <w:r>
        <w:t xml:space="preserve"> </w:t>
      </w:r>
      <w:r>
        <w:t xml:space="preserve">list: any contract involving data access must include a compliant data</w:t>
      </w:r>
      <w:r>
        <w:t xml:space="preserve"> </w:t>
      </w:r>
      <w:r>
        <w:t xml:space="preserve">privacy clause, and this cannot be waived below the Information Security</w:t>
      </w:r>
      <w:r>
        <w:t xml:space="preserve"> </w:t>
      </w:r>
      <w:r>
        <w:t xml:space="preserve">Office.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Payment Policy (POL-PAY-003)</w:t>
      </w:r>
      <w:r>
        <w:t xml:space="preserve"> </w:t>
      </w:r>
      <w:r>
        <w:t xml:space="preserve">governs how invoices are paid once a</w:t>
      </w:r>
      <w:r>
        <w:t xml:space="preserve"> </w:t>
      </w:r>
      <w:r>
        <w:t xml:space="preserve">contract is active — standard terms, milestone-based release, and</w:t>
      </w:r>
      <w:r>
        <w:t xml:space="preserve"> </w:t>
      </w:r>
      <w:r>
        <w:t xml:space="preserve">overpayment prevention.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Vendor Risk Management Policy (POL-VRM-005)</w:t>
      </w:r>
      <w:r>
        <w:t xml:space="preserve"> </w:t>
      </w:r>
      <w:r>
        <w:t xml:space="preserve">layers additional</w:t>
      </w:r>
      <w:r>
        <w:t xml:space="preserve"> </w:t>
      </w:r>
      <w:r>
        <w:t xml:space="preserve">requirements on top of the above based on a vendor’s risk tier —</w:t>
      </w:r>
      <w:r>
        <w:t xml:space="preserve"> </w:t>
      </w:r>
      <w:r>
        <w:t xml:space="preserve">higher-risk vendors need deeper security assessments, insurance</w:t>
      </w:r>
      <w:r>
        <w:t xml:space="preserve"> </w:t>
      </w:r>
      <w:r>
        <w:t xml:space="preserve">coverage, and more frequent reassessment.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Retention and Records Management Policy (POL-DRM-006)</w:t>
      </w:r>
      <w:r>
        <w:t xml:space="preserve"> </w:t>
      </w:r>
      <w:r>
        <w:t xml:space="preserve">governs</w:t>
      </w:r>
      <w:r>
        <w:t xml:space="preserve"> </w:t>
      </w:r>
      <w:r>
        <w:t xml:space="preserve">what happens to all the records this program generates — contracts,</w:t>
      </w:r>
      <w:r>
        <w:t xml:space="preserve"> </w:t>
      </w:r>
      <w:r>
        <w:t xml:space="preserve">invoices, risk assessments — after the relationship ends.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Confidentiality Policy (POL-CONF-004)</w:t>
      </w:r>
      <w:r>
        <w:t xml:space="preserve"> </w:t>
      </w:r>
      <w:r>
        <w:t xml:space="preserve">sets the default confidentiality</w:t>
      </w:r>
      <w:r>
        <w:t xml:space="preserve"> </w:t>
      </w:r>
      <w:r>
        <w:t xml:space="preserve">survival period referenced in most contract templates.</w:t>
      </w:r>
    </w:p>
    <w:bookmarkEnd w:id="21"/>
    <w:bookmarkStart w:id="22" w:name="how-a-contract-moves-through-the-program"/>
    <w:p>
      <w:pPr>
        <w:pStyle w:val="Heading2"/>
      </w:pPr>
      <w:r>
        <w:t xml:space="preserve">How a Contract Moves Through the Program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Intake and risk tiering</w:t>
      </w:r>
      <w:r>
        <w:t xml:space="preserve"> </w:t>
      </w:r>
      <w:r>
        <w:t xml:space="preserve">(SOP-VOB-013, Part A) — before drafting even</w:t>
      </w:r>
      <w:r>
        <w:t xml:space="preserve"> </w:t>
      </w:r>
      <w:r>
        <w:t xml:space="preserve">finishes, the vendor’s risk tier is determined, which decides what</w:t>
      </w:r>
      <w:r>
        <w:t xml:space="preserve"> </w:t>
      </w:r>
      <w:r>
        <w:t xml:space="preserve">assessments are required.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Drafting and clause verification</w:t>
      </w:r>
      <w:r>
        <w:t xml:space="preserve"> </w:t>
      </w:r>
      <w:r>
        <w:t xml:space="preserve">— the contract must satisfy both</w:t>
      </w:r>
      <w:r>
        <w:t xml:space="preserve"> </w:t>
      </w:r>
      <w:r>
        <w:t xml:space="preserve">the general mandatory clauses (POL-PROC-001) and, where applicable, the</w:t>
      </w:r>
      <w:r>
        <w:t xml:space="preserve"> </w:t>
      </w:r>
      <w:r>
        <w:t xml:space="preserve">data privacy clause (POL-SEC-002).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Approval routing</w:t>
      </w:r>
      <w:r>
        <w:t xml:space="preserve"> </w:t>
      </w:r>
      <w:r>
        <w:t xml:space="preserve">(SOP-CA-010) — routed based on contract value per</w:t>
      </w:r>
      <w:r>
        <w:t xml:space="preserve"> </w:t>
      </w:r>
      <w:r>
        <w:t xml:space="preserve">the Procurement Policy threshold table, with mandatory legal review</w:t>
      </w:r>
      <w:r>
        <w:t xml:space="preserve"> </w:t>
      </w:r>
      <w:r>
        <w:t xml:space="preserve">triggered above $250,000 or for data-sharing/non-standard terms.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Execution</w:t>
      </w:r>
      <w:r>
        <w:t xml:space="preserve"> </w:t>
      </w:r>
      <w:r>
        <w:t xml:space="preserve">— once approved, the contract becomes the governing</w:t>
      </w:r>
      <w:r>
        <w:t xml:space="preserve"> </w:t>
      </w:r>
      <w:r>
        <w:t xml:space="preserve">document for all future invoice validation.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Invoice validation</w:t>
      </w:r>
      <w:r>
        <w:t xml:space="preserve"> </w:t>
      </w:r>
      <w:r>
        <w:t xml:space="preserve">(SOP-IV-011) — every invoice submitted against</w:t>
      </w:r>
      <w:r>
        <w:t xml:space="preserve"> </w:t>
      </w:r>
      <w:r>
        <w:t xml:space="preserve">the contract is checked field-by-field: supplier identity, amount,</w:t>
      </w:r>
      <w:r>
        <w:t xml:space="preserve"> </w:t>
      </w:r>
      <w:r>
        <w:t xml:space="preserve">schedule, deliverables, and validity window.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Renewal or offboarding</w:t>
      </w:r>
      <w:r>
        <w:t xml:space="preserve"> </w:t>
      </w:r>
      <w:r>
        <w:t xml:space="preserve">(SOP-CR-012, SOP-VOB-013 Part B) — as the</w:t>
      </w:r>
      <w:r>
        <w:t xml:space="preserve"> </w:t>
      </w:r>
      <w:r>
        <w:t xml:space="preserve">contract approaches expiration, either a renewal review or a formal</w:t>
      </w:r>
      <w:r>
        <w:t xml:space="preserve"> </w:t>
      </w:r>
      <w:r>
        <w:t xml:space="preserve">offboarding process is triggered, both of which reference back to the</w:t>
      </w:r>
      <w:r>
        <w:t xml:space="preserve"> </w:t>
      </w:r>
      <w:r>
        <w:t xml:space="preserve">original policies to reconfirm nothing has drifted out of compliance.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Retention</w:t>
      </w:r>
      <w:r>
        <w:t xml:space="preserve"> </w:t>
      </w:r>
      <w:r>
        <w:t xml:space="preserve">(POL-DRM-006) — throughout and after this lifecycle, every</w:t>
      </w:r>
      <w:r>
        <w:t xml:space="preserve"> </w:t>
      </w:r>
      <w:r>
        <w:t xml:space="preserve">record generated is retained according to its type, with legal holds</w:t>
      </w:r>
      <w:r>
        <w:t xml:space="preserve"> </w:t>
      </w:r>
      <w:r>
        <w:t xml:space="preserve">able to override standard disposal at any point.</w:t>
      </w:r>
    </w:p>
    <w:bookmarkEnd w:id="22"/>
    <w:bookmarkStart w:id="23" w:name="X9e7c656bdcc28d8cef9fd2061a42fcf13e95485"/>
    <w:p>
      <w:pPr>
        <w:pStyle w:val="Heading2"/>
      </w:pPr>
      <w:r>
        <w:t xml:space="preserve">Why Findings Are Categorized Pass / Warning / Fail</w:t>
      </w:r>
    </w:p>
    <w:p>
      <w:pPr>
        <w:pStyle w:val="FirstParagraph"/>
      </w:pPr>
      <w:r>
        <w:t xml:space="preserve">Not every deviation carries the same weight. A missing mandatory clause or</w:t>
      </w:r>
      <w:r>
        <w:t xml:space="preserve"> </w:t>
      </w:r>
      <w:r>
        <w:t xml:space="preserve">a supplier name mismatch is treated as a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because it represents a</w:t>
      </w:r>
      <w:r>
        <w:t xml:space="preserve"> </w:t>
      </w:r>
      <w:r>
        <w:t xml:space="preserve">compliance gap that blocks approval or payment outright. An invoice that</w:t>
      </w:r>
      <w:r>
        <w:t xml:space="preserve"> </w:t>
      </w:r>
      <w:r>
        <w:t xml:space="preserve">exceeds tolerance but has a plausible explanation, or a payment schedule</w:t>
      </w:r>
      <w:r>
        <w:t xml:space="preserve"> </w:t>
      </w:r>
      <w:r>
        <w:t xml:space="preserve">that deviates slightly from the contract, is typically a</w:t>
      </w:r>
      <w:r>
        <w:t xml:space="preserve"> </w:t>
      </w:r>
      <w:r>
        <w:rPr>
          <w:bCs/>
          <w:b/>
        </w:rPr>
        <w:t xml:space="preserve">Warning</w:t>
      </w:r>
      <w:r>
        <w:t xml:space="preserve"> </w:t>
      </w:r>
      <w:r>
        <w:t xml:space="preserve">—</w:t>
      </w:r>
      <w:r>
        <w:t xml:space="preserve"> </w:t>
      </w:r>
      <w:r>
        <w:t xml:space="preserve">something a human reviewer should look at, but not necessarily a blocker.</w:t>
      </w:r>
      <w:r>
        <w:t xml:space="preserve"> </w:t>
      </w:r>
      <w:r>
        <w:t xml:space="preserve">Understanding this distinction matters when interpreting the Assistant’s</w:t>
      </w:r>
      <w:r>
        <w:t xml:space="preserve"> </w:t>
      </w:r>
      <w:r>
        <w:t xml:space="preserve">compliance reports: a report full of Warnings is not the same risk level</w:t>
      </w:r>
      <w:r>
        <w:t xml:space="preserve"> </w:t>
      </w:r>
      <w:r>
        <w:t xml:space="preserve">as one containing even a single Fail.</w:t>
      </w:r>
    </w:p>
    <w:bookmarkEnd w:id="23"/>
    <w:bookmarkStart w:id="24" w:name="where-servicenow-fits-in"/>
    <w:p>
      <w:pPr>
        <w:pStyle w:val="Heading2"/>
      </w:pPr>
      <w:r>
        <w:t xml:space="preserve">Where ServiceNow Fits In</w:t>
      </w:r>
    </w:p>
    <w:p>
      <w:pPr>
        <w:pStyle w:val="FirstParagraph"/>
      </w:pPr>
      <w:r>
        <w:t xml:space="preserve">Historical ServiceNow incidents are not policy — they don’t define a rule</w:t>
      </w:r>
      <w:r>
        <w:t xml:space="preserve"> </w:t>
      </w:r>
      <w:r>
        <w:t xml:space="preserve">the Assistant enforces. They exist to give a human reviewer context: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t xml:space="preserve">exact pattern has caused a problem before.</w:t>
      </w:r>
      <w:r>
        <w:t xml:space="preserve">”</w:t>
      </w:r>
      <w:r>
        <w:t xml:space="preserve"> </w:t>
      </w:r>
      <w:r>
        <w:t xml:space="preserve">A supplier name mismatch</w:t>
      </w:r>
      <w:r>
        <w:t xml:space="preserve"> </w:t>
      </w:r>
      <w:r>
        <w:t xml:space="preserve">finding becomes more actionable when the reviewer can also see that the</w:t>
      </w:r>
      <w:r>
        <w:t xml:space="preserve"> </w:t>
      </w:r>
      <w:r>
        <w:t xml:space="preserve">same supplier had a similar incident logged eighteen months ago.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