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p-contract-renewal"/>
    <w:p>
      <w:pPr>
        <w:pStyle w:val="Heading1"/>
      </w:pPr>
      <w:r>
        <w:t xml:space="preserve">SOP: Contract Renewal</w:t>
      </w:r>
    </w:p>
    <w:p>
      <w:pPr>
        <w:pStyle w:val="FirstParagraph"/>
      </w:pPr>
      <w:r>
        <w:t xml:space="preserve">Document ID: SOP-CR-012</w:t>
      </w:r>
      <w:r>
        <w:t xml:space="preserve"> </w:t>
      </w:r>
      <w:r>
        <w:t xml:space="preserve">Version: 1.0</w:t>
      </w:r>
      <w:r>
        <w:t xml:space="preserve"> </w:t>
      </w:r>
      <w:r>
        <w:t xml:space="preserve">Effective Date: 2025-09-01</w:t>
      </w:r>
    </w:p>
    <w:p>
      <w:pPr>
        <w:pStyle w:val="BodyText"/>
      </w:pPr>
      <w:r>
        <w:t xml:space="preserve">Contract owners must initiate renewal review at least 45 days before</w:t>
      </w:r>
      <w:r>
        <w:t xml:space="preserve"> </w:t>
      </w:r>
      <w:r>
        <w:t xml:space="preserve">contract expiration. Renewal requires reconfirming supplier standing (no</w:t>
      </w:r>
      <w:r>
        <w:t xml:space="preserve"> </w:t>
      </w:r>
      <w:r>
        <w:t xml:space="preserve">open Tier 1 risk findings), reapplying the current Procurement Policy</w:t>
      </w:r>
      <w:r>
        <w:t xml:space="preserve"> </w:t>
      </w:r>
      <w:r>
        <w:t xml:space="preserve">approval threshold based on updated contract value, and reissuing the data</w:t>
      </w:r>
      <w:r>
        <w:t xml:space="preserve"> </w:t>
      </w:r>
      <w:r>
        <w:t xml:space="preserve">privacy clause if the Information Security Policy has been revised since</w:t>
      </w:r>
      <w:r>
        <w:t xml:space="preserve"> </w:t>
      </w:r>
      <w:r>
        <w:t xml:space="preserve">original signature. Contracts not renewed or terminated by their expiration</w:t>
      </w:r>
      <w:r>
        <w:t xml:space="preserve"> </w:t>
      </w:r>
      <w:r>
        <w:t xml:space="preserve">date automatically lapse and require a new full approval cycle to reinstate.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