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op-vendor-onboarding-and-offboarding"/>
    <w:p>
      <w:pPr>
        <w:pStyle w:val="Heading1"/>
      </w:pPr>
      <w:r>
        <w:t xml:space="preserve">SOP: Vendor Onboarding and Offboarding</w:t>
      </w:r>
    </w:p>
    <w:p>
      <w:pPr>
        <w:pStyle w:val="FirstParagraph"/>
      </w:pPr>
      <w:r>
        <w:t xml:space="preserve">Document ID: SOP-VOB-013</w:t>
      </w:r>
      <w:r>
        <w:t xml:space="preserve"> </w:t>
      </w:r>
      <w:r>
        <w:t xml:space="preserve">Version: 2.0</w:t>
      </w:r>
      <w:r>
        <w:t xml:space="preserve"> </w:t>
      </w:r>
      <w:r>
        <w:t xml:space="preserve">Effective Date: 2025-11-15</w:t>
      </w:r>
      <w:r>
        <w:t xml:space="preserve"> </w:t>
      </w:r>
      <w:r>
        <w:t xml:space="preserve">Owner: Procurement &amp; Enterprise Risk Management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the end-to-end process for bringing a new vendor into an active</w:t>
      </w:r>
      <w:r>
        <w:t xml:space="preserve"> </w:t>
      </w:r>
      <w:r>
        <w:t xml:space="preserve">contractual relationship and formally closing out a vendor relationship at</w:t>
      </w:r>
      <w:r>
        <w:t xml:space="preserve"> </w:t>
      </w:r>
      <w:r>
        <w:t xml:space="preserve">contract end, ensuring both procurement and risk requirements are met at</w:t>
      </w:r>
      <w:r>
        <w:t xml:space="preserve"> </w:t>
      </w:r>
      <w:r>
        <w:t xml:space="preserve">each stage.</w:t>
      </w:r>
    </w:p>
    <w:bookmarkEnd w:id="20"/>
    <w:bookmarkStart w:id="28" w:name="part-a-onboarding"/>
    <w:p>
      <w:pPr>
        <w:pStyle w:val="Heading2"/>
      </w:pPr>
      <w:r>
        <w:t xml:space="preserve">Part A — Onboarding</w:t>
      </w:r>
    </w:p>
    <w:bookmarkStart w:id="21" w:name="Xc150b2c008c753c60919f423bef28e207f242eb"/>
    <w:p>
      <w:pPr>
        <w:pStyle w:val="Heading3"/>
      </w:pPr>
      <w:r>
        <w:t xml:space="preserve">Step 1 — Intake and Risk Tier Determination</w:t>
      </w:r>
    </w:p>
    <w:p>
      <w:pPr>
        <w:pStyle w:val="FirstParagraph"/>
      </w:pPr>
      <w:r>
        <w:t xml:space="preserve">Business owner submits a vendor intake request specifying the scope of</w:t>
      </w:r>
      <w:r>
        <w:t xml:space="preserve"> </w:t>
      </w:r>
      <w:r>
        <w:t xml:space="preserve">services and the type of data or system access required. Procurement, in</w:t>
      </w:r>
      <w:r>
        <w:t xml:space="preserve"> </w:t>
      </w:r>
      <w:r>
        <w:t xml:space="preserve">coordination with Enterprise Risk Management, determines the vendor’s risk</w:t>
      </w:r>
      <w:r>
        <w:t xml:space="preserve"> </w:t>
      </w:r>
      <w:r>
        <w:t xml:space="preserve">tier per Vendor Risk Management Policy (POL-VRM-005) Section 2.</w:t>
      </w:r>
    </w:p>
    <w:bookmarkEnd w:id="21"/>
    <w:bookmarkStart w:id="22" w:name="step-2-tier-appropriate-assessment"/>
    <w:p>
      <w:pPr>
        <w:pStyle w:val="Heading3"/>
      </w:pPr>
      <w:r>
        <w:t xml:space="preserve">Step 2 — Tier-Appropriate Assessment</w:t>
      </w:r>
    </w:p>
    <w:p>
      <w:pPr>
        <w:pStyle w:val="FirstParagraph"/>
      </w:pPr>
      <w:r>
        <w:t xml:space="preserve">Based on the assigned tier: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1</w:t>
      </w:r>
      <w:r>
        <w:t xml:space="preserve">: Vendor must submit SOC 2 Type II report, complete a full</w:t>
      </w:r>
      <w:r>
        <w:t xml:space="preserve"> </w:t>
      </w:r>
      <w:r>
        <w:t xml:space="preserve">security questionnaire, and undergo an initial security audit before</w:t>
      </w:r>
      <w:r>
        <w:t xml:space="preserve"> </w:t>
      </w:r>
      <w:r>
        <w:t xml:space="preserve">contract execution.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2</w:t>
      </w:r>
      <w:r>
        <w:t xml:space="preserve">: Vendor must submit SOC 2 Type I (or equivalent) and complete</w:t>
      </w:r>
      <w:r>
        <w:t xml:space="preserve"> </w:t>
      </w:r>
      <w:r>
        <w:t xml:space="preserve">the standard security questionnaire.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3</w:t>
      </w:r>
      <w:r>
        <w:t xml:space="preserve">: Vendor completes the standard security questionnaire only.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4</w:t>
      </w:r>
      <w:r>
        <w:t xml:space="preserve">: No additional assessment required beyond standard</w:t>
      </w:r>
      <w:r>
        <w:t xml:space="preserve"> </w:t>
      </w:r>
      <w:r>
        <w:t xml:space="preserve">procurement intake.</w:t>
      </w:r>
    </w:p>
    <w:p>
      <w:pPr>
        <w:pStyle w:val="BodyText"/>
      </w:pPr>
      <w:r>
        <w:t xml:space="preserve">Contracts cannot be routed for approval until the tier-appropriate</w:t>
      </w:r>
      <w:r>
        <w:t xml:space="preserve"> </w:t>
      </w:r>
      <w:r>
        <w:t xml:space="preserve">assessment is complete and on file.</w:t>
      </w:r>
    </w:p>
    <w:bookmarkEnd w:id="22"/>
    <w:bookmarkStart w:id="23" w:name="Xdb7abfb169c356c234d358260cc84aabd102806"/>
    <w:p>
      <w:pPr>
        <w:pStyle w:val="Heading3"/>
      </w:pPr>
      <w:r>
        <w:t xml:space="preserve">Step 3 — Sanctions and Watch List Screening</w:t>
      </w:r>
    </w:p>
    <w:p>
      <w:pPr>
        <w:pStyle w:val="FirstParagraph"/>
      </w:pPr>
      <w:r>
        <w:t xml:space="preserve">Procurement screens the vendor’s legal entity name against applicable</w:t>
      </w:r>
      <w:r>
        <w:t xml:space="preserve"> </w:t>
      </w:r>
      <w:r>
        <w:t xml:space="preserve">sanctions and watch lists before proceeding. A positive match requires</w:t>
      </w:r>
      <w:r>
        <w:t xml:space="preserve"> </w:t>
      </w:r>
      <w:r>
        <w:t xml:space="preserve">escalation to Legal and halts onboarding pending resolution.</w:t>
      </w:r>
    </w:p>
    <w:bookmarkEnd w:id="23"/>
    <w:bookmarkStart w:id="24" w:name="step-4-insurance-verification"/>
    <w:p>
      <w:pPr>
        <w:pStyle w:val="Heading3"/>
      </w:pPr>
      <w:r>
        <w:t xml:space="preserve">Step 4 — Insurance Verification</w:t>
      </w:r>
    </w:p>
    <w:p>
      <w:pPr>
        <w:pStyle w:val="FirstParagraph"/>
      </w:pPr>
      <w:r>
        <w:t xml:space="preserve">Vendor must provide certificates of insurance meeting the minimum coverage</w:t>
      </w:r>
      <w:r>
        <w:t xml:space="preserve"> </w:t>
      </w:r>
      <w:r>
        <w:t xml:space="preserve">thresholds defined in POL-VRM-005 Section 6 for their assigned tier.</w:t>
      </w:r>
      <w:r>
        <w:t xml:space="preserve"> </w:t>
      </w:r>
      <w:r>
        <w:t xml:space="preserve">Coverage below the required threshold must be remediated (increased</w:t>
      </w:r>
      <w:r>
        <w:t xml:space="preserve"> </w:t>
      </w:r>
      <w:r>
        <w:t xml:space="preserve">coverage or a documented risk acceptance from the Chief Risk Officer)</w:t>
      </w:r>
      <w:r>
        <w:t xml:space="preserve"> </w:t>
      </w:r>
      <w:r>
        <w:t xml:space="preserve">before contract execution.</w:t>
      </w:r>
    </w:p>
    <w:bookmarkEnd w:id="24"/>
    <w:bookmarkStart w:id="25" w:name="Xa433d7a875b8725773466801325c98febbdd6b7"/>
    <w:p>
      <w:pPr>
        <w:pStyle w:val="Heading3"/>
      </w:pPr>
      <w:r>
        <w:t xml:space="preserve">Step 5 — Contract Drafting and Clause Verification</w:t>
      </w:r>
    </w:p>
    <w:p>
      <w:pPr>
        <w:pStyle w:val="FirstParagraph"/>
      </w:pPr>
      <w:r>
        <w:t xml:space="preserve">Contract must include all mandatory clauses per Procurement Policy</w:t>
      </w:r>
      <w:r>
        <w:t xml:space="preserve"> </w:t>
      </w:r>
      <w:r>
        <w:t xml:space="preserve">(POL-PROC-001) Section 4, and the data privacy clause required by</w:t>
      </w:r>
      <w:r>
        <w:t xml:space="preserve"> </w:t>
      </w:r>
      <w:r>
        <w:t xml:space="preserve">Information Security Policy (POL-SEC-002) if the vendor will access</w:t>
      </w:r>
      <w:r>
        <w:t xml:space="preserve"> </w:t>
      </w:r>
      <w:r>
        <w:t xml:space="preserve">Company data. Reference SOP: Contract Approval Process (SOP-CA-010) for the</w:t>
      </w:r>
      <w:r>
        <w:t xml:space="preserve"> </w:t>
      </w:r>
      <w:r>
        <w:t xml:space="preserve">full approval routing procedure.</w:t>
      </w:r>
    </w:p>
    <w:bookmarkEnd w:id="25"/>
    <w:bookmarkStart w:id="26" w:name="step-6-system-provisioning-if-applicable"/>
    <w:p>
      <w:pPr>
        <w:pStyle w:val="Heading3"/>
      </w:pPr>
      <w:r>
        <w:t xml:space="preserve">Step 6 — System Provisioning (if applicable)</w:t>
      </w:r>
    </w:p>
    <w:p>
      <w:pPr>
        <w:pStyle w:val="FirstParagraph"/>
      </w:pPr>
      <w:r>
        <w:t xml:space="preserve">For vendors requiring system access, IT provisions access strictly scoped</w:t>
      </w:r>
      <w:r>
        <w:t xml:space="preserve"> </w:t>
      </w:r>
      <w:r>
        <w:t xml:space="preserve">to the minimum required for the contracted services, following the</w:t>
      </w:r>
      <w:r>
        <w:t xml:space="preserve"> </w:t>
      </w:r>
      <w:r>
        <w:t xml:space="preserve">principle of least privilege. Access provisioning must not occur before</w:t>
      </w:r>
      <w:r>
        <w:t xml:space="preserve"> </w:t>
      </w:r>
      <w:r>
        <w:t xml:space="preserve">contract execution.</w:t>
      </w:r>
    </w:p>
    <w:bookmarkEnd w:id="26"/>
    <w:bookmarkStart w:id="27" w:name="step-7-onboarding-confirmation"/>
    <w:p>
      <w:pPr>
        <w:pStyle w:val="Heading3"/>
      </w:pPr>
      <w:r>
        <w:t xml:space="preserve">Step 7 — Onboarding Confirmation</w:t>
      </w:r>
    </w:p>
    <w:p>
      <w:pPr>
        <w:pStyle w:val="FirstParagraph"/>
      </w:pPr>
      <w:r>
        <w:t xml:space="preserve">Procurement records confirmation that all prior steps are complete before</w:t>
      </w:r>
      <w:r>
        <w:t xml:space="preserve"> </w:t>
      </w:r>
      <w:r>
        <w:t xml:space="preserve">the vendor is marked active in the vendor management system and the</w:t>
      </w:r>
      <w:r>
        <w:t xml:space="preserve"> </w:t>
      </w:r>
      <w:r>
        <w:t xml:space="preserve">contract becomes the governing document for future invoice validation.</w:t>
      </w:r>
    </w:p>
    <w:bookmarkEnd w:id="27"/>
    <w:bookmarkEnd w:id="28"/>
    <w:bookmarkStart w:id="35" w:name="part-b-offboarding"/>
    <w:p>
      <w:pPr>
        <w:pStyle w:val="Heading2"/>
      </w:pPr>
      <w:r>
        <w:t xml:space="preserve">Part B — Offboarding</w:t>
      </w:r>
    </w:p>
    <w:bookmarkStart w:id="29" w:name="step-1-offboarding-trigger"/>
    <w:p>
      <w:pPr>
        <w:pStyle w:val="Heading3"/>
      </w:pPr>
      <w:r>
        <w:t xml:space="preserve">Step 1 — Offboarding Trigger</w:t>
      </w:r>
    </w:p>
    <w:p>
      <w:pPr>
        <w:pStyle w:val="FirstParagraph"/>
      </w:pPr>
      <w:r>
        <w:t xml:space="preserve">Offboarding is initiated upon contract expiration without renewal,</w:t>
      </w:r>
      <w:r>
        <w:t xml:space="preserve"> </w:t>
      </w:r>
      <w:r>
        <w:t xml:space="preserve">termination for convenience, or termination for cause.</w:t>
      </w:r>
    </w:p>
    <w:bookmarkEnd w:id="29"/>
    <w:bookmarkStart w:id="30" w:name="step-2-access-revocation"/>
    <w:p>
      <w:pPr>
        <w:pStyle w:val="Heading3"/>
      </w:pPr>
      <w:r>
        <w:t xml:space="preserve">Step 2 — Access Revocation</w:t>
      </w:r>
    </w:p>
    <w:p>
      <w:pPr>
        <w:pStyle w:val="FirstParagraph"/>
      </w:pPr>
      <w:r>
        <w:t xml:space="preserve">IT revokes all system access within 24 hours of the offboarding trigger, as</w:t>
      </w:r>
      <w:r>
        <w:t xml:space="preserve"> </w:t>
      </w:r>
      <w:r>
        <w:t xml:space="preserve">required by POL-VRM-005 Section 7. This applies regardless of the reason</w:t>
      </w:r>
      <w:r>
        <w:t xml:space="preserve"> </w:t>
      </w:r>
      <w:r>
        <w:t xml:space="preserve">for offboarding.</w:t>
      </w:r>
    </w:p>
    <w:bookmarkEnd w:id="30"/>
    <w:bookmarkStart w:id="31" w:name="step-3-data-return-or-destruction"/>
    <w:p>
      <w:pPr>
        <w:pStyle w:val="Heading3"/>
      </w:pPr>
      <w:r>
        <w:t xml:space="preserve">Step 3 — Data Return or Destruction</w:t>
      </w:r>
    </w:p>
    <w:p>
      <w:pPr>
        <w:pStyle w:val="FirstParagraph"/>
      </w:pPr>
      <w:r>
        <w:t xml:space="preserve">Vendor returns or destroys all Company data within 30 days per POL-VRM-005</w:t>
      </w:r>
      <w:r>
        <w:t xml:space="preserve"> </w:t>
      </w:r>
      <w:r>
        <w:t xml:space="preserve">Section 7 and Data Retention and Records Management Policy (POL-DRM-006).</w:t>
      </w:r>
      <w:r>
        <w:t xml:space="preserve"> </w:t>
      </w:r>
      <w:r>
        <w:t xml:space="preserve">For Tier 1 and Tier 2 vendors, written certification of destruction is</w:t>
      </w:r>
      <w:r>
        <w:t xml:space="preserve"> </w:t>
      </w:r>
      <w:r>
        <w:t xml:space="preserve">required and must be retained per the retention schedule in POL-DRM-006.</w:t>
      </w:r>
    </w:p>
    <w:bookmarkEnd w:id="31"/>
    <w:bookmarkStart w:id="32" w:name="step-4-final-invoice-reconciliation"/>
    <w:p>
      <w:pPr>
        <w:pStyle w:val="Heading3"/>
      </w:pPr>
      <w:r>
        <w:t xml:space="preserve">Step 4 — Final Invoice Reconciliation</w:t>
      </w:r>
    </w:p>
    <w:p>
      <w:pPr>
        <w:pStyle w:val="FirstParagraph"/>
      </w:pPr>
      <w:r>
        <w:t xml:space="preserve">Finance confirms all outstanding invoices have been validated and paid, or</w:t>
      </w:r>
      <w:r>
        <w:t xml:space="preserve"> </w:t>
      </w:r>
      <w:r>
        <w:t xml:space="preserve">formally disputed, before the vendor relationship is closed in the system.</w:t>
      </w:r>
      <w:r>
        <w:t xml:space="preserve"> </w:t>
      </w:r>
      <w:r>
        <w:t xml:space="preserve">Any open disputes must be documented with a resolution owner and target</w:t>
      </w:r>
      <w:r>
        <w:t xml:space="preserve"> </w:t>
      </w:r>
      <w:r>
        <w:t xml:space="preserve">date.</w:t>
      </w:r>
    </w:p>
    <w:bookmarkEnd w:id="32"/>
    <w:bookmarkStart w:id="33" w:name="step-5-risk-closure-review"/>
    <w:p>
      <w:pPr>
        <w:pStyle w:val="Heading3"/>
      </w:pPr>
      <w:r>
        <w:t xml:space="preserve">Step 5 — Risk Closure Review</w:t>
      </w:r>
    </w:p>
    <w:p>
      <w:pPr>
        <w:pStyle w:val="FirstParagraph"/>
      </w:pPr>
      <w:r>
        <w:t xml:space="preserve">Enterprise Risk Management conducts a closure review documenting any</w:t>
      </w:r>
      <w:r>
        <w:t xml:space="preserve"> </w:t>
      </w:r>
      <w:r>
        <w:t xml:space="preserve">outstanding risk findings, open security incidents, or unresolved audit</w:t>
      </w:r>
      <w:r>
        <w:t xml:space="preserve"> </w:t>
      </w:r>
      <w:r>
        <w:t xml:space="preserve">items associated with the vendor, per POL-VRM-005 Section 7.</w:t>
      </w:r>
    </w:p>
    <w:bookmarkEnd w:id="33"/>
    <w:bookmarkStart w:id="34" w:name="step-6-records-retention"/>
    <w:p>
      <w:pPr>
        <w:pStyle w:val="Heading3"/>
      </w:pPr>
      <w:r>
        <w:t xml:space="preserve">Step 6 — Records Retention</w:t>
      </w:r>
    </w:p>
    <w:p>
      <w:pPr>
        <w:pStyle w:val="FirstParagraph"/>
      </w:pPr>
      <w:r>
        <w:t xml:space="preserve">All contract, invoice, and risk assessment records associated with the</w:t>
      </w:r>
      <w:r>
        <w:t xml:space="preserve"> </w:t>
      </w:r>
      <w:r>
        <w:t xml:space="preserve">vendor relationship are retained per the schedule in POL-DRM-006 — records</w:t>
      </w:r>
      <w:r>
        <w:t xml:space="preserve"> </w:t>
      </w:r>
      <w:r>
        <w:t xml:space="preserve">are not deleted at offboarding, only the active vendor relationship is</w:t>
      </w:r>
      <w:r>
        <w:t xml:space="preserve"> </w:t>
      </w:r>
      <w:r>
        <w:t xml:space="preserve">closed.</w:t>
      </w:r>
    </w:p>
    <w:bookmarkEnd w:id="34"/>
    <w:bookmarkEnd w:id="35"/>
    <w:bookmarkStart w:id="36" w:name="common-failure-points"/>
    <w:p>
      <w:pPr>
        <w:pStyle w:val="Heading2"/>
      </w:pPr>
      <w:r>
        <w:t xml:space="preserve">Common Failure Points</w:t>
      </w:r>
    </w:p>
    <w:p>
      <w:pPr>
        <w:numPr>
          <w:ilvl w:val="0"/>
          <w:numId w:val="1001"/>
        </w:numPr>
        <w:pStyle w:val="Compact"/>
      </w:pPr>
      <w:r>
        <w:t xml:space="preserve">Contract executed before required security assessment is complete</w:t>
      </w:r>
    </w:p>
    <w:p>
      <w:pPr>
        <w:numPr>
          <w:ilvl w:val="0"/>
          <w:numId w:val="1001"/>
        </w:numPr>
        <w:pStyle w:val="Compact"/>
      </w:pPr>
      <w:r>
        <w:t xml:space="preserve">System access provisioned before contract execution (Step 6, Part A)</w:t>
      </w:r>
    </w:p>
    <w:p>
      <w:pPr>
        <w:numPr>
          <w:ilvl w:val="0"/>
          <w:numId w:val="1001"/>
        </w:numPr>
        <w:pStyle w:val="Compact"/>
      </w:pPr>
      <w:r>
        <w:t xml:space="preserve">Access not revoked within the 24-hour window at offboarding</w:t>
      </w:r>
    </w:p>
    <w:p>
      <w:pPr>
        <w:numPr>
          <w:ilvl w:val="0"/>
          <w:numId w:val="1001"/>
        </w:numPr>
        <w:pStyle w:val="Compact"/>
      </w:pPr>
      <w:r>
        <w:t xml:space="preserve">Missing destruction certification for Tier 1/2 vendor offboarding</w:t>
      </w:r>
    </w:p>
    <w:p>
      <w:pPr>
        <w:numPr>
          <w:ilvl w:val="0"/>
          <w:numId w:val="1001"/>
        </w:numPr>
        <w:pStyle w:val="Compact"/>
      </w:pPr>
      <w:r>
        <w:t xml:space="preserve">Records deleted at offboarding instead of following the retention</w:t>
      </w:r>
      <w:r>
        <w:t xml:space="preserve"> </w:t>
      </w:r>
      <w:r>
        <w:t xml:space="preserve">schedule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