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software-license-and-support-agreement"/>
    <w:p>
      <w:pPr>
        <w:pStyle w:val="Heading1"/>
      </w:pPr>
      <w:r>
        <w:t xml:space="preserve">Software License and Support Agreement</w:t>
      </w:r>
    </w:p>
    <w:p>
      <w:pPr>
        <w:pStyle w:val="FirstParagraph"/>
      </w:pPr>
      <w:r>
        <w:t xml:space="preserve">Contract ID: CTR-2026-0071</w:t>
      </w:r>
      <w:r>
        <w:t xml:space="preserve"> </w:t>
      </w:r>
      <w:r>
        <w:t xml:space="preserve">Supplier: Larkspur Analytics Inc.</w:t>
      </w:r>
      <w:r>
        <w:t xml:space="preserve"> </w:t>
      </w:r>
      <w:r>
        <w:t xml:space="preserve">Tax ID: 88-4471029</w:t>
      </w:r>
      <w:r>
        <w:t xml:space="preserve"> </w:t>
      </w:r>
      <w:r>
        <w:t xml:space="preserve">Contract Owner: H. Talbi, Procurement</w:t>
      </w:r>
      <w:r>
        <w:t xml:space="preserve"> </w:t>
      </w:r>
      <w:r>
        <w:t xml:space="preserve">Total Contract Value: $142,800 USD</w:t>
      </w:r>
      <w:r>
        <w:t xml:space="preserve"> </w:t>
      </w:r>
      <w:r>
        <w:t xml:space="preserve">Contract Validity Period: 2026-03-15 to 2027-03-14</w:t>
      </w:r>
      <w:r>
        <w:t xml:space="preserve"> </w:t>
      </w:r>
      <w:r>
        <w:t xml:space="preserve">Vendor Risk Tier: Tier 2 — High (per POL-VRM-005)</w:t>
      </w:r>
    </w:p>
    <w:bookmarkStart w:id="20" w:name="license-grant"/>
    <w:p>
      <w:pPr>
        <w:pStyle w:val="Heading2"/>
      </w:pPr>
      <w:r>
        <w:t xml:space="preserve">1. License Grant</w:t>
      </w:r>
    </w:p>
    <w:p>
      <w:pPr>
        <w:pStyle w:val="FirstParagraph"/>
      </w:pPr>
      <w:r>
        <w:t xml:space="preserve">Larkspur Analytics Inc. grants the Company a non-exclusive, non-transferable</w:t>
      </w:r>
      <w:r>
        <w:t xml:space="preserve"> </w:t>
      </w:r>
      <w:r>
        <w:t xml:space="preserve">license to use the Larkspur Insights Platform for up to 250 named users</w:t>
      </w:r>
      <w:r>
        <w:t xml:space="preserve"> </w:t>
      </w:r>
      <w:r>
        <w:t xml:space="preserve">across the Company’s Finance and Operations departments, for the duration</w:t>
      </w:r>
      <w:r>
        <w:t xml:space="preserve"> </w:t>
      </w:r>
      <w:r>
        <w:t xml:space="preserve">of this Agreement.</w:t>
      </w:r>
    </w:p>
    <w:bookmarkEnd w:id="20"/>
    <w:bookmarkStart w:id="21" w:name="fees"/>
    <w:p>
      <w:pPr>
        <w:pStyle w:val="Heading2"/>
      </w:pPr>
      <w:r>
        <w:t xml:space="preserve">2. Fees</w:t>
      </w:r>
    </w:p>
    <w:p>
      <w:pPr>
        <w:pStyle w:val="FirstParagraph"/>
      </w:pPr>
      <w:r>
        <w:t xml:space="preserve">Annual license fee: $120,000, invoiced upfront upon execution. Annual</w:t>
      </w:r>
      <w:r>
        <w:t xml:space="preserve"> </w:t>
      </w:r>
      <w:r>
        <w:t xml:space="preserve">support and maintenance fee: $22,800 (19% of license fee), invoiced upfront</w:t>
      </w:r>
      <w:r>
        <w:t xml:space="preserve"> </w:t>
      </w:r>
      <w:r>
        <w:t xml:space="preserve">alongside the license fee. Total first-year contract value: $142,800.</w:t>
      </w:r>
    </w:p>
    <w:bookmarkEnd w:id="21"/>
    <w:bookmarkStart w:id="22" w:name="support-terms"/>
    <w:p>
      <w:pPr>
        <w:pStyle w:val="Heading2"/>
      </w:pPr>
      <w:r>
        <w:t xml:space="preserve">3. Support Terms</w:t>
      </w:r>
    </w:p>
    <w:p>
      <w:pPr>
        <w:pStyle w:val="FirstParagraph"/>
      </w:pPr>
      <w:r>
        <w:t xml:space="preserve">Vendor shall provide Business Hours support (8am-6pm ET, Monday-Friday)</w:t>
      </w:r>
      <w:r>
        <w:t xml:space="preserve"> </w:t>
      </w:r>
      <w:r>
        <w:t xml:space="preserve">with a 4-hour response time for Severity 1 issues and 1-business-day</w:t>
      </w:r>
      <w:r>
        <w:t xml:space="preserve"> </w:t>
      </w:r>
      <w:r>
        <w:t xml:space="preserve">response for Severity 2 and below. Vendor shall provide quarterly platform</w:t>
      </w:r>
      <w:r>
        <w:t xml:space="preserve"> </w:t>
      </w:r>
      <w:r>
        <w:t xml:space="preserve">updates and shall notify the Company at least 30 days in advance of any</w:t>
      </w:r>
      <w:r>
        <w:t xml:space="preserve"> </w:t>
      </w:r>
      <w:r>
        <w:t xml:space="preserve">update requiring user retraining.</w:t>
      </w:r>
    </w:p>
    <w:bookmarkEnd w:id="22"/>
    <w:bookmarkStart w:id="23" w:name="data-privacy-and-confidentiality"/>
    <w:p>
      <w:pPr>
        <w:pStyle w:val="Heading2"/>
      </w:pPr>
      <w:r>
        <w:t xml:space="preserve">4. Data Privacy and Confidentiality</w:t>
      </w:r>
    </w:p>
    <w:p>
      <w:pPr>
        <w:pStyle w:val="FirstParagraph"/>
      </w:pPr>
      <w:r>
        <w:t xml:space="preserve">As the platform will process Company financial and operational data</w:t>
      </w:r>
      <w:r>
        <w:t xml:space="preserve"> </w:t>
      </w:r>
      <w:r>
        <w:t xml:space="preserve">classified as Confidential, Vendor shall: restrict data use solely to</w:t>
      </w:r>
      <w:r>
        <w:t xml:space="preserve"> </w:t>
      </w:r>
      <w:r>
        <w:t xml:space="preserve">providing the licensed services; retain Company data only for the duration</w:t>
      </w:r>
      <w:r>
        <w:t xml:space="preserve"> </w:t>
      </w:r>
      <w:r>
        <w:t xml:space="preserve">of the Agreement plus 30 days for transition purposes; notify the Company</w:t>
      </w:r>
      <w:r>
        <w:t xml:space="preserve"> </w:t>
      </w:r>
      <w:r>
        <w:t xml:space="preserve">of any breach within 72 hours of discovery; comply with applicable data</w:t>
      </w:r>
      <w:r>
        <w:t xml:space="preserve"> </w:t>
      </w:r>
      <w:r>
        <w:t xml:space="preserve">protection regulations; and permit the Company to audit data handling</w:t>
      </w:r>
      <w:r>
        <w:t xml:space="preserve"> </w:t>
      </w:r>
      <w:r>
        <w:t xml:space="preserve">practices with 15 days notice, consistent with Vendor’s Tier 2 status under</w:t>
      </w:r>
      <w:r>
        <w:t xml:space="preserve"> </w:t>
      </w:r>
      <w:r>
        <w:t xml:space="preserve">POL-VRM-005.</w:t>
      </w:r>
    </w:p>
    <w:bookmarkEnd w:id="23"/>
    <w:bookmarkStart w:id="24" w:name="service-level-commitment"/>
    <w:p>
      <w:pPr>
        <w:pStyle w:val="Heading2"/>
      </w:pPr>
      <w:r>
        <w:t xml:space="preserve">5. Service Level Commitment</w:t>
      </w:r>
    </w:p>
    <w:p>
      <w:pPr>
        <w:pStyle w:val="FirstParagraph"/>
      </w:pPr>
      <w:r>
        <w:t xml:space="preserve">Vendor commits to 99.5% platform uptime measured monthly, excluding</w:t>
      </w:r>
      <w:r>
        <w:t xml:space="preserve"> </w:t>
      </w:r>
      <w:r>
        <w:t xml:space="preserve">scheduled maintenance windows communicated at least 5 business days in</w:t>
      </w:r>
      <w:r>
        <w:t xml:space="preserve"> </w:t>
      </w:r>
      <w:r>
        <w:t xml:space="preserve">advance. Failure to meet this commitment in any given month entitles the</w:t>
      </w:r>
      <w:r>
        <w:t xml:space="preserve"> </w:t>
      </w:r>
      <w:r>
        <w:t xml:space="preserve">Company to a service credit of 5% of the monthly-equivalent license fee</w:t>
      </w:r>
      <w:r>
        <w:t xml:space="preserve"> </w:t>
      </w:r>
      <w:r>
        <w:t xml:space="preserve">per 0.5% of uptime shortfall, up to a maximum of 25% credit in any month.</w:t>
      </w:r>
    </w:p>
    <w:bookmarkEnd w:id="24"/>
    <w:bookmarkStart w:id="25" w:name="termination"/>
    <w:p>
      <w:pPr>
        <w:pStyle w:val="Heading2"/>
      </w:pPr>
      <w:r>
        <w:t xml:space="preserve">6. Termination</w:t>
      </w:r>
    </w:p>
    <w:p>
      <w:pPr>
        <w:pStyle w:val="FirstParagraph"/>
      </w:pPr>
      <w:r>
        <w:t xml:space="preserve">Either party may terminate for convenience with 60 days written notice.</w:t>
      </w:r>
      <w:r>
        <w:t xml:space="preserve"> </w:t>
      </w:r>
      <w:r>
        <w:t xml:space="preserve">Either party may terminate for cause with 15 days written notice and an</w:t>
      </w:r>
      <w:r>
        <w:t xml:space="preserve"> </w:t>
      </w:r>
      <w:r>
        <w:t xml:space="preserve">opportunity to cure. Upon termination, the Company shall receive a pro-rated</w:t>
      </w:r>
      <w:r>
        <w:t xml:space="preserve"> </w:t>
      </w:r>
      <w:r>
        <w:t xml:space="preserve">refund of any prepaid, unused license fees.</w:t>
      </w:r>
    </w:p>
    <w:bookmarkEnd w:id="25"/>
    <w:bookmarkStart w:id="26" w:name="liability-and-indemnification"/>
    <w:p>
      <w:pPr>
        <w:pStyle w:val="Heading2"/>
      </w:pPr>
      <w:r>
        <w:t xml:space="preserve">7. Liability and Indemnification</w:t>
      </w:r>
    </w:p>
    <w:p>
      <w:pPr>
        <w:pStyle w:val="FirstParagraph"/>
      </w:pPr>
      <w:r>
        <w:t xml:space="preserve">Vendor shall indemnify the Company against third-party claims arising from</w:t>
      </w:r>
      <w:r>
        <w:t xml:space="preserve"> </w:t>
      </w:r>
      <w:r>
        <w:t xml:space="preserve">intellectual property infringement related to the licensed platform.</w:t>
      </w:r>
      <w:r>
        <w:t xml:space="preserve"> </w:t>
      </w:r>
      <w:r>
        <w:t xml:space="preserve">Aggregate liability under this Agreement is capped at total fees paid in</w:t>
      </w:r>
      <w:r>
        <w:t xml:space="preserve"> </w:t>
      </w:r>
      <w:r>
        <w:t xml:space="preserve">the preceding 12 months, except for breaches of Section 4 (Data Privacy).</w:t>
      </w:r>
    </w:p>
    <w:bookmarkEnd w:id="26"/>
    <w:bookmarkStart w:id="27" w:name="governing-law"/>
    <w:p>
      <w:pPr>
        <w:pStyle w:val="Heading2"/>
      </w:pPr>
      <w:r>
        <w:t xml:space="preserve">8. Governing Law</w:t>
      </w:r>
    </w:p>
    <w:p>
      <w:pPr>
        <w:pStyle w:val="FirstParagraph"/>
      </w:pPr>
      <w:r>
        <w:t xml:space="preserve">This Agreement shall be governed by the laws of the state in which the</w:t>
      </w:r>
      <w:r>
        <w:t xml:space="preserve"> </w:t>
      </w:r>
      <w:r>
        <w:t xml:space="preserve">Company’s headquarters is located.</w:t>
      </w:r>
    </w:p>
    <w:bookmarkEnd w:id="27"/>
    <w:bookmarkStart w:id="28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Approved by: H. Talbi, Director of Procurement</w:t>
      </w:r>
      <w:r>
        <w:t xml:space="preserve"> </w:t>
      </w:r>
      <w:r>
        <w:t xml:space="preserve">Date: 2026-03-10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2026-07-27T07:17:40Z</dcterms:created>
  <dcterms:modified xsi:type="dcterms:W3CDTF">2026-07-27T07:17:40Z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