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fb2d4d287a6b418a998122b4407663094438a6"/>
    <w:p>
      <w:pPr>
        <w:pStyle w:val="Heading1"/>
      </w:pPr>
      <w:r>
        <w:t xml:space="preserve">Data Retention and Records Management Policy</w:t>
      </w:r>
    </w:p>
    <w:p>
      <w:pPr>
        <w:pStyle w:val="FirstParagraph"/>
      </w:pPr>
      <w:r>
        <w:t xml:space="preserve">Document ID: POL-DRM-006</w:t>
      </w:r>
      <w:r>
        <w:t xml:space="preserve"> </w:t>
      </w:r>
      <w:r>
        <w:t xml:space="preserve">Version: 2.3</w:t>
      </w:r>
      <w:r>
        <w:t xml:space="preserve"> </w:t>
      </w:r>
      <w:r>
        <w:t xml:space="preserve">Effective Date: 2025-10-01</w:t>
      </w:r>
      <w:r>
        <w:t xml:space="preserve"> </w:t>
      </w:r>
      <w:r>
        <w:t xml:space="preserve">Owner: Legal &amp; Records Management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policy establishes retention periods and disposal requirements for</w:t>
      </w:r>
      <w:r>
        <w:t xml:space="preserve"> </w:t>
      </w:r>
      <w:r>
        <w:t xml:space="preserve">contracts, invoices, compliance records, and related documentation</w:t>
      </w:r>
      <w:r>
        <w:t xml:space="preserve"> </w:t>
      </w:r>
      <w:r>
        <w:t xml:space="preserve">generated or received in connection with the Company’s procurement and</w:t>
      </w:r>
      <w:r>
        <w:t xml:space="preserve"> </w:t>
      </w:r>
      <w:r>
        <w:t xml:space="preserve">contract compliance activities. It applies to all business units, and to</w:t>
      </w:r>
      <w:r>
        <w:t xml:space="preserve"> </w:t>
      </w:r>
      <w:r>
        <w:t xml:space="preserve">any third party acting as a records custodian on the Company’s behalf.</w:t>
      </w:r>
    </w:p>
    <w:bookmarkEnd w:id="20"/>
    <w:bookmarkStart w:id="21" w:name="retention-schedule"/>
    <w:p>
      <w:pPr>
        <w:pStyle w:val="Heading2"/>
      </w:pPr>
      <w:r>
        <w:t xml:space="preserve">2. Retention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Executed contracts (all values)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contract expiration or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parent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Invoices and payment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date of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review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contract execution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risk assessments (Tier 1/2)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assessment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risk assessments (Tier 3/4)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assessment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ServiceNow compliance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incident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privacy impact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assessment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past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certificate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compliance audit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audit completion</w:t>
            </w:r>
          </w:p>
        </w:tc>
      </w:tr>
    </w:tbl>
    <w:p>
      <w:pPr>
        <w:pStyle w:val="BodyText"/>
      </w:pPr>
      <w:r>
        <w:t xml:space="preserve">Retention periods represent minimums. Records subject to active litigation,</w:t>
      </w:r>
      <w:r>
        <w:t xml:space="preserve"> </w:t>
      </w:r>
      <w:r>
        <w:t xml:space="preserve">regulatory inquiry, or audit hold must be retained until the hold is</w:t>
      </w:r>
      <w:r>
        <w:t xml:space="preserve"> </w:t>
      </w:r>
      <w:r>
        <w:t xml:space="preserve">formally lifted by Legal, regardless of the schedule above.</w:t>
      </w:r>
    </w:p>
    <w:bookmarkEnd w:id="21"/>
    <w:bookmarkStart w:id="22" w:name="records-format-and-accessibility"/>
    <w:p>
      <w:pPr>
        <w:pStyle w:val="Heading2"/>
      </w:pPr>
      <w:r>
        <w:t xml:space="preserve">3. Records Format and Accessibility</w:t>
      </w:r>
    </w:p>
    <w:p>
      <w:pPr>
        <w:pStyle w:val="FirstParagraph"/>
      </w:pPr>
      <w:r>
        <w:t xml:space="preserve">Records may be retained in their original format (paper or electronic) or</w:t>
      </w:r>
      <w:r>
        <w:t xml:space="preserve"> </w:t>
      </w:r>
      <w:r>
        <w:t xml:space="preserve">converted to a durable electronic format, provided the conversion preserves</w:t>
      </w:r>
      <w:r>
        <w:t xml:space="preserve"> </w:t>
      </w:r>
      <w:r>
        <w:t xml:space="preserve">legibility and the record’s evidentiary integrity. Records ingested into</w:t>
      </w:r>
      <w:r>
        <w:t xml:space="preserve"> </w:t>
      </w:r>
      <w:r>
        <w:t xml:space="preserve">the Contract Compliance Assistant’s knowledge base must retain their</w:t>
      </w:r>
      <w:r>
        <w:t xml:space="preserve"> </w:t>
      </w:r>
      <w:r>
        <w:t xml:space="preserve">original source document alongside any derived embeddings or extracted</w:t>
      </w:r>
      <w:r>
        <w:t xml:space="preserve"> </w:t>
      </w:r>
      <w:r>
        <w:t xml:space="preserve">text, so that a human reviewer can always trace a finding back to the</w:t>
      </w:r>
      <w:r>
        <w:t xml:space="preserve"> </w:t>
      </w:r>
      <w:r>
        <w:t xml:space="preserve">original file.</w:t>
      </w:r>
    </w:p>
    <w:bookmarkEnd w:id="22"/>
    <w:bookmarkStart w:id="23" w:name="legal-hold-process"/>
    <w:p>
      <w:pPr>
        <w:pStyle w:val="Heading2"/>
      </w:pPr>
      <w:r>
        <w:t xml:space="preserve">4. Legal Hold Process</w:t>
      </w:r>
    </w:p>
    <w:p>
      <w:pPr>
        <w:pStyle w:val="FirstParagraph"/>
      </w:pPr>
      <w:r>
        <w:t xml:space="preserve">When Legal issues a litigation hold notice, all custodians of potentially</w:t>
      </w:r>
      <w:r>
        <w:t xml:space="preserve"> </w:t>
      </w:r>
      <w:r>
        <w:t xml:space="preserve">relevant records must suspend any scheduled disposal for those records</w:t>
      </w:r>
      <w:r>
        <w:t xml:space="preserve"> </w:t>
      </w:r>
      <w:r>
        <w:t xml:space="preserve">immediately. The Contract Compliance Assistant’s automated retention</w:t>
      </w:r>
      <w:r>
        <w:t xml:space="preserve"> </w:t>
      </w:r>
      <w:r>
        <w:t xml:space="preserve">enforcement (see Section 6) must support a hold flag that overrides</w:t>
      </w:r>
      <w:r>
        <w:t xml:space="preserve"> </w:t>
      </w:r>
      <w:r>
        <w:t xml:space="preserve">standard disposal scheduling on a per-document basis.</w:t>
      </w:r>
    </w:p>
    <w:bookmarkEnd w:id="23"/>
    <w:bookmarkStart w:id="24" w:name="disposal-requirements"/>
    <w:p>
      <w:pPr>
        <w:pStyle w:val="Heading2"/>
      </w:pPr>
      <w:r>
        <w:t xml:space="preserve">5. Disposal Requirements</w:t>
      </w:r>
    </w:p>
    <w:p>
      <w:pPr>
        <w:pStyle w:val="FirstParagraph"/>
      </w:pPr>
      <w:r>
        <w:t xml:space="preserve">Upon expiration of the applicable retention period, and absent an active</w:t>
      </w:r>
      <w:r>
        <w:t xml:space="preserve"> </w:t>
      </w:r>
      <w:r>
        <w:t xml:space="preserve">legal hold, records must be disposed of securely:</w:t>
      </w:r>
      <w:r>
        <w:t xml:space="preserve"> </w:t>
      </w:r>
      <w:r>
        <w:t xml:space="preserve">- Electronic records: permanent deletion including backups and archived</w:t>
      </w:r>
      <w:r>
        <w:t xml:space="preserve"> </w:t>
      </w:r>
      <w:r>
        <w:t xml:space="preserve">copies, following the secure deletion standard referenced in the</w:t>
      </w:r>
      <w:r>
        <w:t xml:space="preserve"> </w:t>
      </w:r>
      <w:r>
        <w:t xml:space="preserve">Information Security Policy (POL-SEC-002)</w:t>
      </w:r>
      <w:r>
        <w:t xml:space="preserve"> </w:t>
      </w:r>
      <w:r>
        <w:t xml:space="preserve">- Physical records: cross-cut shredding or certified secure destruction</w:t>
      </w:r>
      <w:r>
        <w:t xml:space="preserve"> </w:t>
      </w:r>
      <w:r>
        <w:t xml:space="preserve">service</w:t>
      </w:r>
    </w:p>
    <w:p>
      <w:pPr>
        <w:pStyle w:val="BodyText"/>
      </w:pPr>
      <w:r>
        <w:t xml:space="preserve">Disposal of Tier 1 or Tier 2 vendor-related records (per POL-VRM-005)</w:t>
      </w:r>
      <w:r>
        <w:t xml:space="preserve"> </w:t>
      </w:r>
      <w:r>
        <w:t xml:space="preserve">requires a documented disposal log entry, including record type, date</w:t>
      </w:r>
      <w:r>
        <w:t xml:space="preserve"> </w:t>
      </w:r>
      <w:r>
        <w:t xml:space="preserve">range covered, and the name of the individual authorizing disposal.</w:t>
      </w:r>
    </w:p>
    <w:bookmarkEnd w:id="24"/>
    <w:bookmarkStart w:id="25" w:name="system-requirements"/>
    <w:p>
      <w:pPr>
        <w:pStyle w:val="Heading2"/>
      </w:pPr>
      <w:r>
        <w:t xml:space="preserve">6. System Requirements</w:t>
      </w:r>
    </w:p>
    <w:p>
      <w:pPr>
        <w:pStyle w:val="FirstParagraph"/>
      </w:pPr>
      <w:r>
        <w:t xml:space="preserve">Any system storing contract, invoice, or compliance records — including</w:t>
      </w:r>
      <w:r>
        <w:t xml:space="preserve"> </w:t>
      </w:r>
      <w:r>
        <w:t xml:space="preserve">this application’s vector database and document store — must:</w:t>
      </w:r>
      <w:r>
        <w:t xml:space="preserve"> </w:t>
      </w:r>
      <w:r>
        <w:t xml:space="preserve">1. Tag each ingested document with its record type and retention trigger</w:t>
      </w:r>
      <w:r>
        <w:t xml:space="preserve"> </w:t>
      </w:r>
      <w:r>
        <w:t xml:space="preserve">date at ingestion time</w:t>
      </w:r>
      <w:r>
        <w:t xml:space="preserve"> </w:t>
      </w:r>
      <w:r>
        <w:t xml:space="preserve">2. Support flagging individual documents or record sets as under legal</w:t>
      </w:r>
      <w:r>
        <w:t xml:space="preserve"> </w:t>
      </w:r>
      <w:r>
        <w:t xml:space="preserve">hold, which suspends any automated disposal for that record</w:t>
      </w:r>
      <w:r>
        <w:t xml:space="preserve"> </w:t>
      </w:r>
      <w:r>
        <w:t xml:space="preserve">3. Generate a disposal-eligibility report on a quarterly basis for Legal</w:t>
      </w:r>
      <w:r>
        <w:t xml:space="preserve"> </w:t>
      </w:r>
      <w:r>
        <w:t xml:space="preserve">and Records Management review before any bulk deletion occurs</w:t>
      </w:r>
      <w:r>
        <w:t xml:space="preserve"> </w:t>
      </w:r>
      <w:r>
        <w:t xml:space="preserve">4. Log all disposal actions with timestamp, record identifier, and</w:t>
      </w:r>
      <w:r>
        <w:t xml:space="preserve"> </w:t>
      </w:r>
      <w:r>
        <w:t xml:space="preserve">authorizing user</w:t>
      </w:r>
    </w:p>
    <w:p>
      <w:pPr>
        <w:pStyle w:val="BodyText"/>
      </w:pPr>
      <w:r>
        <w:t xml:space="preserve">Automated bulk deletion without human review is not permitted under any</w:t>
      </w:r>
      <w:r>
        <w:t xml:space="preserve"> </w:t>
      </w:r>
      <w:r>
        <w:t xml:space="preserve">circumstance, even for records that have clearly exceeded their retention</w:t>
      </w:r>
      <w:r>
        <w:t xml:space="preserve"> </w:t>
      </w:r>
      <w:r>
        <w:t xml:space="preserve">period.</w:t>
      </w:r>
    </w:p>
    <w:bookmarkEnd w:id="25"/>
    <w:bookmarkStart w:id="26" w:name="roles-and-responsibilities"/>
    <w:p>
      <w:pPr>
        <w:pStyle w:val="Heading2"/>
      </w:pPr>
      <w:r>
        <w:t xml:space="preserve">7. Roles and Responsibilities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Records Management</w:t>
      </w:r>
      <w:r>
        <w:t xml:space="preserve">: maintains the retention schedule, coordinates</w:t>
      </w:r>
      <w:r>
        <w:t xml:space="preserve"> </w:t>
      </w:r>
      <w:r>
        <w:t xml:space="preserve">quarterly disposal review cycles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Legal</w:t>
      </w:r>
      <w:r>
        <w:t xml:space="preserve">: issues and lifts litigation holds, approves disposal of</w:t>
      </w:r>
      <w:r>
        <w:t xml:space="preserve"> </w:t>
      </w:r>
      <w:r>
        <w:t xml:space="preserve">legally sensitive record categories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IT/Engineering</w:t>
      </w:r>
      <w:r>
        <w:t xml:space="preserve">: implements and maintains system-level retention</w:t>
      </w:r>
      <w:r>
        <w:t xml:space="preserve"> </w:t>
      </w:r>
      <w:r>
        <w:t xml:space="preserve">tagging, hold flags, and disposal logging described in Section 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Business Owners</w:t>
      </w:r>
      <w:r>
        <w:t xml:space="preserve">: identify records that may be subject to hold due to</w:t>
      </w:r>
      <w:r>
        <w:t xml:space="preserve"> </w:t>
      </w:r>
      <w:r>
        <w:t xml:space="preserve">known disputes or investigations, even before Legal formally issues a</w:t>
      </w:r>
      <w:r>
        <w:t xml:space="preserve"> </w:t>
      </w:r>
      <w:r>
        <w:t xml:space="preserve">hold notice</w:t>
      </w:r>
    </w:p>
    <w:bookmarkEnd w:id="26"/>
    <w:bookmarkStart w:id="27" w:name="exceptions"/>
    <w:p>
      <w:pPr>
        <w:pStyle w:val="Heading2"/>
      </w:pPr>
      <w:r>
        <w:t xml:space="preserve">8. Exceptions</w:t>
      </w:r>
    </w:p>
    <w:p>
      <w:pPr>
        <w:pStyle w:val="FirstParagraph"/>
      </w:pPr>
      <w:r>
        <w:t xml:space="preserve">Deviations from the standard retention schedule (either shorter or longer</w:t>
      </w:r>
      <w:r>
        <w:t xml:space="preserve"> </w:t>
      </w:r>
      <w:r>
        <w:t xml:space="preserve">retention) require written approval from both Legal and Records Management,</w:t>
      </w:r>
      <w:r>
        <w:t xml:space="preserve"> </w:t>
      </w:r>
      <w:r>
        <w:t xml:space="preserve">documented with a business or regulatory justification, and reviewed</w:t>
      </w:r>
      <w:r>
        <w:t xml:space="preserve"> </w:t>
      </w:r>
      <w:r>
        <w:t xml:space="preserve">annually.</w:t>
      </w:r>
    </w:p>
    <w:bookmarkEnd w:id="27"/>
    <w:bookmarkStart w:id="28" w:name="related-documents"/>
    <w:p>
      <w:pPr>
        <w:pStyle w:val="Heading2"/>
      </w:pPr>
      <w:r>
        <w:t xml:space="preserve">9. Related Documents</w:t>
      </w:r>
    </w:p>
    <w:p>
      <w:pPr>
        <w:numPr>
          <w:ilvl w:val="0"/>
          <w:numId w:val="1002"/>
        </w:numPr>
        <w:pStyle w:val="Compact"/>
      </w:pPr>
      <w:r>
        <w:t xml:space="preserve">Procurement Policy (POL-PROC-001)</w:t>
      </w:r>
    </w:p>
    <w:p>
      <w:pPr>
        <w:numPr>
          <w:ilvl w:val="0"/>
          <w:numId w:val="1002"/>
        </w:numPr>
        <w:pStyle w:val="Compact"/>
      </w:pPr>
      <w:r>
        <w:t xml:space="preserve">Information Security Policy (POL-SEC-002)</w:t>
      </w:r>
    </w:p>
    <w:p>
      <w:pPr>
        <w:numPr>
          <w:ilvl w:val="0"/>
          <w:numId w:val="1002"/>
        </w:numPr>
        <w:pStyle w:val="Compact"/>
      </w:pPr>
      <w:r>
        <w:t xml:space="preserve">Vendor Risk Management Policy (POL-VRM-005)</w:t>
      </w:r>
    </w:p>
    <w:p>
      <w:pPr>
        <w:numPr>
          <w:ilvl w:val="0"/>
          <w:numId w:val="1002"/>
        </w:numPr>
        <w:pStyle w:val="Compact"/>
      </w:pPr>
      <w:r>
        <w:t xml:space="preserve">SOP: Contract Renewal (SOP-CR-012)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2026-07-28T09:56:11Z</dcterms:created>
  <dcterms:modified xsi:type="dcterms:W3CDTF">2026-07-28T09:56:11Z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