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information-security-policy"/>
    <w:p>
      <w:pPr>
        <w:pStyle w:val="Heading1"/>
      </w:pPr>
      <w:r>
        <w:t xml:space="preserve">Information Security Policy</w:t>
      </w:r>
    </w:p>
    <w:p>
      <w:pPr>
        <w:pStyle w:val="FirstParagraph"/>
      </w:pPr>
      <w:r>
        <w:t xml:space="preserve">Document ID: POL-SEC-002</w:t>
      </w:r>
      <w:r>
        <w:t xml:space="preserve"> </w:t>
      </w:r>
      <w:r>
        <w:t xml:space="preserve">Version: 2.1</w:t>
      </w:r>
      <w:r>
        <w:t xml:space="preserve"> </w:t>
      </w:r>
      <w:r>
        <w:t xml:space="preserve">Effective Date: 2025-03-15</w:t>
      </w:r>
      <w:r>
        <w:t xml:space="preserve"> </w:t>
      </w:r>
      <w:r>
        <w:t xml:space="preserve">Owner: Information Security Office</w:t>
      </w:r>
    </w:p>
    <w:bookmarkStart w:id="20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policy defines minimum data protection and confidentiality requirements</w:t>
      </w:r>
      <w:r>
        <w:t xml:space="preserve"> </w:t>
      </w:r>
      <w:r>
        <w:t xml:space="preserve">that must be reflected in any contract where a third party may access,</w:t>
      </w:r>
      <w:r>
        <w:t xml:space="preserve"> </w:t>
      </w:r>
      <w:r>
        <w:t xml:space="preserve">process, store, or transmit company data.</w:t>
      </w:r>
    </w:p>
    <w:bookmarkEnd w:id="20"/>
    <w:bookmarkStart w:id="21" w:name="mandatory-data-privacy-clause"/>
    <w:p>
      <w:pPr>
        <w:pStyle w:val="Heading2"/>
      </w:pPr>
      <w:r>
        <w:t xml:space="preserve">2. Mandatory Data Privacy Clause</w:t>
      </w:r>
    </w:p>
    <w:p>
      <w:pPr>
        <w:pStyle w:val="FirstParagraph"/>
      </w:pPr>
      <w:r>
        <w:t xml:space="preserve">Any contract involving a supplier, vendor, or partner that will have access</w:t>
      </w:r>
      <w:r>
        <w:t xml:space="preserve"> </w:t>
      </w:r>
      <w:r>
        <w:t xml:space="preserve">to company data — including customer data, employee data, or confidential</w:t>
      </w:r>
      <w:r>
        <w:t xml:space="preserve"> </w:t>
      </w:r>
      <w:r>
        <w:t xml:space="preserve">business information —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include a data privacy clause covering:</w:t>
      </w:r>
    </w:p>
    <w:p>
      <w:pPr>
        <w:numPr>
          <w:ilvl w:val="0"/>
          <w:numId w:val="1001"/>
        </w:numPr>
        <w:pStyle w:val="Compact"/>
      </w:pPr>
      <w:r>
        <w:t xml:space="preserve">Data ownership and permitted use restrictions</w:t>
      </w:r>
    </w:p>
    <w:p>
      <w:pPr>
        <w:numPr>
          <w:ilvl w:val="0"/>
          <w:numId w:val="1001"/>
        </w:numPr>
        <w:pStyle w:val="Compact"/>
      </w:pPr>
      <w:r>
        <w:t xml:space="preserve">Data retention and secure deletion requirements at contract end</w:t>
      </w:r>
    </w:p>
    <w:p>
      <w:pPr>
        <w:numPr>
          <w:ilvl w:val="0"/>
          <w:numId w:val="1001"/>
        </w:numPr>
        <w:pStyle w:val="Compact"/>
      </w:pPr>
      <w:r>
        <w:t xml:space="preserve">Breach notification timeline (must not exceed 72 hours from discovery)</w:t>
      </w:r>
    </w:p>
    <w:p>
      <w:pPr>
        <w:numPr>
          <w:ilvl w:val="0"/>
          <w:numId w:val="1001"/>
        </w:numPr>
        <w:pStyle w:val="Compact"/>
      </w:pPr>
      <w:r>
        <w:t xml:space="preserve">Compliance with applicable data protection regulations (e.g., GDPR, CCPA</w:t>
      </w:r>
      <w:r>
        <w:t xml:space="preserve"> </w:t>
      </w:r>
      <w:r>
        <w:t xml:space="preserve">where applicable)</w:t>
      </w:r>
    </w:p>
    <w:p>
      <w:pPr>
        <w:numPr>
          <w:ilvl w:val="0"/>
          <w:numId w:val="1001"/>
        </w:numPr>
        <w:pStyle w:val="Compact"/>
      </w:pPr>
      <w:r>
        <w:t xml:space="preserve">Right to audit the supplier’s data handling practices</w:t>
      </w:r>
    </w:p>
    <w:p>
      <w:pPr>
        <w:pStyle w:val="FirstParagraph"/>
      </w:pPr>
      <w:r>
        <w:rPr>
          <w:bCs/>
          <w:b/>
        </w:rPr>
        <w:t xml:space="preserve">Contracts that do not contain this clause are non-compliant and must be</w:t>
      </w:r>
      <w:r>
        <w:rPr>
          <w:bCs/>
          <w:b/>
        </w:rPr>
        <w:t xml:space="preserve"> </w:t>
      </w:r>
      <w:r>
        <w:rPr>
          <w:bCs/>
          <w:b/>
        </w:rPr>
        <w:t xml:space="preserve">rejected or returned for revision before approval, regardless of contract</w:t>
      </w:r>
      <w:r>
        <w:rPr>
          <w:bCs/>
          <w:b/>
        </w:rPr>
        <w:t xml:space="preserve"> </w:t>
      </w:r>
      <w:r>
        <w:rPr>
          <w:bCs/>
          <w:b/>
        </w:rPr>
        <w:t xml:space="preserve">value.</w:t>
      </w:r>
    </w:p>
    <w:bookmarkEnd w:id="21"/>
    <w:bookmarkStart w:id="22" w:name="data-classification"/>
    <w:p>
      <w:pPr>
        <w:pStyle w:val="Heading2"/>
      </w:pPr>
      <w:r>
        <w:t xml:space="preserve">3. Data Classification</w:t>
      </w:r>
    </w:p>
    <w:p>
      <w:pPr>
        <w:pStyle w:val="FirstParagraph"/>
      </w:pPr>
      <w:r>
        <w:t xml:space="preserve">All data shared with third parties under a contract must be classified</w:t>
      </w:r>
      <w:r>
        <w:t xml:space="preserve"> </w:t>
      </w:r>
      <w:r>
        <w:t xml:space="preserve">(Public, Internal, Confidential, Restricted) and the classification must</w:t>
      </w:r>
      <w:r>
        <w:t xml:space="preserve"> </w:t>
      </w:r>
      <w:r>
        <w:t xml:space="preserve">determine the required security controls, which should be referenced in the</w:t>
      </w:r>
      <w:r>
        <w:t xml:space="preserve"> </w:t>
      </w:r>
      <w:r>
        <w:t xml:space="preserve">contract’s data privacy clause.</w:t>
      </w:r>
    </w:p>
    <w:bookmarkEnd w:id="22"/>
    <w:bookmarkStart w:id="23" w:name="subcontractor-restrictions"/>
    <w:p>
      <w:pPr>
        <w:pStyle w:val="Heading2"/>
      </w:pPr>
      <w:r>
        <w:t xml:space="preserve">4. Subcontractor Restrictions</w:t>
      </w:r>
    </w:p>
    <w:p>
      <w:pPr>
        <w:pStyle w:val="FirstParagraph"/>
      </w:pPr>
      <w:r>
        <w:t xml:space="preserve">Suppliers may not share company data with subcontractors or downstream</w:t>
      </w:r>
      <w:r>
        <w:t xml:space="preserve"> </w:t>
      </w:r>
      <w:r>
        <w:t xml:space="preserve">vendors unless explicitly permitted in the contract and the subcontractor</w:t>
      </w:r>
      <w:r>
        <w:t xml:space="preserve"> </w:t>
      </w:r>
      <w:r>
        <w:t xml:space="preserve">agrees to equivalent data protection terms.</w:t>
      </w:r>
    </w:p>
    <w:bookmarkEnd w:id="23"/>
    <w:bookmarkStart w:id="24" w:name="enforcement"/>
    <w:p>
      <w:pPr>
        <w:pStyle w:val="Heading2"/>
      </w:pPr>
      <w:r>
        <w:t xml:space="preserve">5. Enforcement</w:t>
      </w:r>
    </w:p>
    <w:p>
      <w:pPr>
        <w:pStyle w:val="FirstParagraph"/>
      </w:pPr>
      <w:r>
        <w:t xml:space="preserve">Contract reviewers must verify the presence of a compliant data privacy</w:t>
      </w:r>
      <w:r>
        <w:t xml:space="preserve"> </w:t>
      </w:r>
      <w:r>
        <w:t xml:space="preserve">clause during the Contract Review workflow. This is a mandatory check and</w:t>
      </w:r>
      <w:r>
        <w:t xml:space="preserve"> </w:t>
      </w:r>
      <w:r>
        <w:t xml:space="preserve">cannot be waived by a Department Manager — waivers require sign-off from the</w:t>
      </w:r>
      <w:r>
        <w:t xml:space="preserve"> </w:t>
      </w:r>
      <w:r>
        <w:t xml:space="preserve">Information Security Office.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2026-07-28T09:56:11Z</dcterms:created>
  <dcterms:modified xsi:type="dcterms:W3CDTF">2026-07-28T09:56:11Z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