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ayment-policy"/>
    <w:p>
      <w:pPr>
        <w:pStyle w:val="Heading1"/>
      </w:pPr>
      <w:r>
        <w:t xml:space="preserve">Payment Policy</w:t>
      </w:r>
    </w:p>
    <w:p>
      <w:pPr>
        <w:pStyle w:val="FirstParagraph"/>
      </w:pPr>
      <w:r>
        <w:t xml:space="preserve">Document ID: POL-PAY-003</w:t>
      </w:r>
      <w:r>
        <w:t xml:space="preserve"> </w:t>
      </w:r>
      <w:r>
        <w:t xml:space="preserve">Version: 1.4</w:t>
      </w:r>
      <w:r>
        <w:t xml:space="preserve"> </w:t>
      </w:r>
      <w:r>
        <w:t xml:space="preserve">Effective Date: 2025-06-01</w:t>
      </w:r>
      <w:r>
        <w:t xml:space="preserve"> </w:t>
      </w:r>
      <w:r>
        <w:t xml:space="preserve">Owner: Finance Department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Defines payment terms, schedules, and controls for supplier invoices issued</w:t>
      </w:r>
      <w:r>
        <w:t xml:space="preserve"> </w:t>
      </w:r>
      <w:r>
        <w:t xml:space="preserve">against approved contracts.</w:t>
      </w:r>
    </w:p>
    <w:bookmarkEnd w:id="20"/>
    <w:bookmarkStart w:id="21" w:name="standard-payment-terms"/>
    <w:p>
      <w:pPr>
        <w:pStyle w:val="Heading2"/>
      </w:pPr>
      <w:r>
        <w:t xml:space="preserve">2. Standard Payment Terms</w:t>
      </w:r>
    </w:p>
    <w:p>
      <w:pPr>
        <w:numPr>
          <w:ilvl w:val="0"/>
          <w:numId w:val="1001"/>
        </w:numPr>
        <w:pStyle w:val="Compact"/>
      </w:pPr>
      <w:r>
        <w:t xml:space="preserve">Default payment terms are</w:t>
      </w:r>
      <w:r>
        <w:t xml:space="preserve"> </w:t>
      </w:r>
      <w:r>
        <w:rPr>
          <w:bCs/>
          <w:b/>
        </w:rPr>
        <w:t xml:space="preserve">Net 30</w:t>
      </w:r>
      <w:r>
        <w:t xml:space="preserve"> </w:t>
      </w:r>
      <w:r>
        <w:t xml:space="preserve">from the date of invoice receipt,</w:t>
      </w:r>
      <w:r>
        <w:t xml:space="preserve"> </w:t>
      </w:r>
      <w:r>
        <w:t xml:space="preserve">unless the contract specifies otherwise.</w:t>
      </w:r>
    </w:p>
    <w:p>
      <w:pPr>
        <w:numPr>
          <w:ilvl w:val="0"/>
          <w:numId w:val="1001"/>
        </w:numPr>
        <w:pStyle w:val="Compact"/>
      </w:pPr>
      <w:r>
        <w:t xml:space="preserve">Early payment discounts (e.g., 2/10 Net 30) may be applied only if</w:t>
      </w:r>
      <w:r>
        <w:t xml:space="preserve"> </w:t>
      </w:r>
      <w:r>
        <w:t xml:space="preserve">explicitly stated in the contract’s payment schedule.</w:t>
      </w:r>
    </w:p>
    <w:bookmarkEnd w:id="21"/>
    <w:bookmarkStart w:id="22" w:name="payment-schedule-compliance"/>
    <w:p>
      <w:pPr>
        <w:pStyle w:val="Heading2"/>
      </w:pPr>
      <w:r>
        <w:t xml:space="preserve">3. Payment Schedule Compliance</w:t>
      </w:r>
    </w:p>
    <w:p>
      <w:pPr>
        <w:pStyle w:val="FirstParagraph"/>
      </w:pPr>
      <w:r>
        <w:t xml:space="preserve">Invoice payment schedules must match the schedule defined in the governing</w:t>
      </w:r>
      <w:r>
        <w:t xml:space="preserve"> </w:t>
      </w:r>
      <w:r>
        <w:t xml:space="preserve">contract. Any deviation (different due date, different milestone structure)</w:t>
      </w:r>
      <w:r>
        <w:t xml:space="preserve"> </w:t>
      </w:r>
      <w:r>
        <w:t xml:space="preserve">must be flagged as a warning during invoice validation.</w:t>
      </w:r>
    </w:p>
    <w:bookmarkEnd w:id="22"/>
    <w:bookmarkStart w:id="23" w:name="milestone-based-payments"/>
    <w:p>
      <w:pPr>
        <w:pStyle w:val="Heading2"/>
      </w:pPr>
      <w:r>
        <w:t xml:space="preserve">4. Milestone-Based Payments</w:t>
      </w:r>
    </w:p>
    <w:p>
      <w:pPr>
        <w:pStyle w:val="FirstParagraph"/>
      </w:pPr>
      <w:r>
        <w:t xml:space="preserve">For contracts with milestone-based deliverables, payment may only be</w:t>
      </w:r>
      <w:r>
        <w:t xml:space="preserve"> </w:t>
      </w:r>
      <w:r>
        <w:t xml:space="preserve">released after the corresponding milestone has been marked complete and</w:t>
      </w:r>
      <w:r>
        <w:t xml:space="preserve"> </w:t>
      </w:r>
      <w:r>
        <w:t xml:space="preserve">accepted. Invoices submitted before milestone completion must be rejected.</w:t>
      </w:r>
    </w:p>
    <w:bookmarkEnd w:id="23"/>
    <w:bookmarkStart w:id="24" w:name="overpayment-prevention"/>
    <w:p>
      <w:pPr>
        <w:pStyle w:val="Heading2"/>
      </w:pPr>
      <w:r>
        <w:t xml:space="preserve">5. Overpayment Prevention</w:t>
      </w:r>
    </w:p>
    <w:p>
      <w:pPr>
        <w:pStyle w:val="FirstParagraph"/>
      </w:pPr>
      <w:r>
        <w:t xml:space="preserve">Finance and the Contract Compliance system must jointly verify:</w:t>
      </w:r>
      <w:r>
        <w:t xml:space="preserve"> </w:t>
      </w:r>
      <w:r>
        <w:t xml:space="preserve">- Invoice amount does not exceed the remaining approved contract balance</w:t>
      </w:r>
      <w:r>
        <w:t xml:space="preserve"> </w:t>
      </w:r>
      <w:r>
        <w:t xml:space="preserve">- Cumulative payments to date do not exceed total contract value unless an</w:t>
      </w:r>
      <w:r>
        <w:t xml:space="preserve"> </w:t>
      </w:r>
      <w:r>
        <w:t xml:space="preserve">approved amendment increasing contract value is on file</w:t>
      </w:r>
    </w:p>
    <w:p>
      <w:pPr>
        <w:pStyle w:val="BodyText"/>
      </w:pPr>
      <w:r>
        <w:t xml:space="preserve">Any invoice that would cause cumulative payments to exceed contract value</w:t>
      </w:r>
      <w:r>
        <w:t xml:space="preserve"> </w:t>
      </w:r>
      <w:r>
        <w:t xml:space="preserve">must be blocked pending amendment approval.</w:t>
      </w:r>
    </w:p>
    <w:bookmarkEnd w:id="24"/>
    <w:bookmarkStart w:id="25" w:name="currency-and-rounding"/>
    <w:p>
      <w:pPr>
        <w:pStyle w:val="Heading2"/>
      </w:pPr>
      <w:r>
        <w:t xml:space="preserve">6. Currency and Rounding</w:t>
      </w:r>
    </w:p>
    <w:p>
      <w:pPr>
        <w:pStyle w:val="FirstParagraph"/>
      </w:pPr>
      <w:r>
        <w:t xml:space="preserve">All contracts and invoices must be evaluated in the currency specified in</w:t>
      </w:r>
      <w:r>
        <w:t xml:space="preserve"> </w:t>
      </w:r>
      <w:r>
        <w:t xml:space="preserve">the contract. Cross-currency invoices require conversion using the exchange</w:t>
      </w:r>
      <w:r>
        <w:t xml:space="preserve"> </w:t>
      </w:r>
      <w:r>
        <w:t xml:space="preserve">rate documented at contract signing, not the rate at invoice date, unless</w:t>
      </w:r>
      <w:r>
        <w:t xml:space="preserve"> </w:t>
      </w:r>
      <w:r>
        <w:t xml:space="preserve">the contract specifies a floating-rate clause.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