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ocurement-policy"/>
    <w:p>
      <w:pPr>
        <w:pStyle w:val="Heading1"/>
      </w:pPr>
      <w:r>
        <w:t xml:space="preserve">Procurement Policy</w:t>
      </w:r>
    </w:p>
    <w:p>
      <w:pPr>
        <w:pStyle w:val="FirstParagraph"/>
      </w:pPr>
      <w:r>
        <w:t xml:space="preserve">Document ID: POL-PROC-001</w:t>
      </w:r>
      <w:r>
        <w:t xml:space="preserve"> </w:t>
      </w:r>
      <w:r>
        <w:t xml:space="preserve">Version: 3.2</w:t>
      </w:r>
      <w:r>
        <w:t xml:space="preserve"> </w:t>
      </w:r>
      <w:r>
        <w:t xml:space="preserve">Effective Date: 2025-01-01</w:t>
      </w:r>
      <w:r>
        <w:t xml:space="preserve"> </w:t>
      </w:r>
      <w:r>
        <w:t xml:space="preserve">Owner: Procurement Department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governs the procurement of goods and services, including contract</w:t>
      </w:r>
      <w:r>
        <w:t xml:space="preserve"> </w:t>
      </w:r>
      <w:r>
        <w:t xml:space="preserve">approval, supplier selection, and payment terms for all vendor agreements.</w:t>
      </w:r>
    </w:p>
    <w:bookmarkEnd w:id="20"/>
    <w:bookmarkStart w:id="21" w:name="approval-thresholds"/>
    <w:p>
      <w:pPr>
        <w:pStyle w:val="Heading2"/>
      </w:pPr>
      <w:r>
        <w:t xml:space="preserve">2. Approval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Contract 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$10,000 - 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$50,000 - 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 + Legal Review</w:t>
            </w:r>
          </w:p>
        </w:tc>
      </w:tr>
    </w:tbl>
    <w:p>
      <w:pPr>
        <w:pStyle w:val="BodyText"/>
      </w:pPr>
      <w:r>
        <w:t xml:space="preserve">Any contract exceeding $250,000 requires a mandatory legal review prior to</w:t>
      </w:r>
      <w:r>
        <w:t xml:space="preserve"> </w:t>
      </w:r>
      <w:r>
        <w:t xml:space="preserve">signature. Contracts cannot be executed without evidence of the required</w:t>
      </w:r>
      <w:r>
        <w:t xml:space="preserve"> </w:t>
      </w:r>
      <w:r>
        <w:t xml:space="preserve">approval level being obtained.</w:t>
      </w:r>
    </w:p>
    <w:bookmarkEnd w:id="21"/>
    <w:bookmarkStart w:id="22" w:name="advance-payment"/>
    <w:p>
      <w:pPr>
        <w:pStyle w:val="Heading2"/>
      </w:pPr>
      <w:r>
        <w:t xml:space="preserve">3. Advance Payment</w:t>
      </w:r>
    </w:p>
    <w:p>
      <w:pPr>
        <w:pStyle w:val="FirstParagraph"/>
      </w:pPr>
      <w:r>
        <w:t xml:space="preserve">Advance payment to suppliers is</w:t>
      </w:r>
      <w:r>
        <w:t xml:space="preserve"> </w:t>
      </w:r>
      <w:r>
        <w:rPr>
          <w:bCs/>
          <w:b/>
        </w:rPr>
        <w:t xml:space="preserve">not permitted</w:t>
      </w:r>
      <w:r>
        <w:t xml:space="preserve"> </w:t>
      </w:r>
      <w:r>
        <w:t xml:space="preserve">except under the following</w:t>
      </w:r>
      <w:r>
        <w:t xml:space="preserve"> </w:t>
      </w:r>
      <w:r>
        <w:t xml:space="preserve">conditions:</w:t>
      </w:r>
      <w:r>
        <w:t xml:space="preserve"> </w:t>
      </w:r>
      <w:r>
        <w:t xml:space="preserve">- The supplier is a new vendor with fewer than 2 prior transactions and the</w:t>
      </w:r>
      <w:r>
        <w:t xml:space="preserve"> </w:t>
      </w:r>
      <w:r>
        <w:t xml:space="preserve">advance does not exceed 20% of total contract value, OR</w:t>
      </w:r>
      <w:r>
        <w:t xml:space="preserve"> </w:t>
      </w:r>
      <w:r>
        <w:t xml:space="preserve">- Advance payment is explicitly approved in writing by the VP of Procurement.</w:t>
      </w:r>
    </w:p>
    <w:p>
      <w:pPr>
        <w:pStyle w:val="BodyText"/>
      </w:pPr>
      <w:r>
        <w:t xml:space="preserve">All other payment must follow standard net-30 terms from invoice receipt,</w:t>
      </w:r>
      <w:r>
        <w:t xml:space="preserve"> </w:t>
      </w:r>
      <w:r>
        <w:t xml:space="preserve">unless otherwise negotiated and documented in the contract’s payment schedule.</w:t>
      </w:r>
    </w:p>
    <w:bookmarkEnd w:id="22"/>
    <w:bookmarkStart w:id="23" w:name="mandatory-contract-clauses"/>
    <w:p>
      <w:pPr>
        <w:pStyle w:val="Heading2"/>
      </w:pPr>
      <w:r>
        <w:t xml:space="preserve">4. Mandatory Contract Clauses</w:t>
      </w:r>
    </w:p>
    <w:p>
      <w:pPr>
        <w:pStyle w:val="FirstParagraph"/>
      </w:pPr>
      <w:r>
        <w:t xml:space="preserve">Every supplier contract must include, at minimum:</w:t>
      </w:r>
      <w:r>
        <w:t xml:space="preserve"> </w:t>
      </w:r>
      <w:r>
        <w:t xml:space="preserve">1. Scope of work / deliverables</w:t>
      </w:r>
      <w:r>
        <w:t xml:space="preserve"> </w:t>
      </w:r>
      <w:r>
        <w:t xml:space="preserve">2. Payment terms and schedule</w:t>
      </w:r>
      <w:r>
        <w:t xml:space="preserve"> </w:t>
      </w:r>
      <w:r>
        <w:t xml:space="preserve">3. Contract validity period (start and end dates)</w:t>
      </w:r>
      <w:r>
        <w:t xml:space="preserve"> </w:t>
      </w:r>
      <w:r>
        <w:t xml:space="preserve">4. Termination conditions</w:t>
      </w:r>
      <w:r>
        <w:t xml:space="preserve"> </w:t>
      </w:r>
      <w:r>
        <w:t xml:space="preserve">5. Data privacy and confidentiality clause (see Information Security Policy</w:t>
      </w:r>
      <w:r>
        <w:t xml:space="preserve"> </w:t>
      </w:r>
      <w:r>
        <w:t xml:space="preserve">POL-SEC-002 for required language)</w:t>
      </w:r>
      <w:r>
        <w:t xml:space="preserve"> </w:t>
      </w:r>
      <w:r>
        <w:t xml:space="preserve">6. Liability and indemnification terms</w:t>
      </w:r>
    </w:p>
    <w:p>
      <w:pPr>
        <w:pStyle w:val="BodyText"/>
      </w:pPr>
      <w:r>
        <w:t xml:space="preserve">Contracts missing any of the above are considered</w:t>
      </w:r>
      <w:r>
        <w:t xml:space="preserve"> </w:t>
      </w:r>
      <w:r>
        <w:rPr>
          <w:bCs/>
          <w:b/>
        </w:rPr>
        <w:t xml:space="preserve">non-compliant</w:t>
      </w:r>
      <w:r>
        <w:t xml:space="preserve"> </w:t>
      </w:r>
      <w:r>
        <w:t xml:space="preserve">and must</w:t>
      </w:r>
      <w:r>
        <w:t xml:space="preserve"> </w:t>
      </w:r>
      <w:r>
        <w:t xml:space="preserve">be flagged for revision before approval.</w:t>
      </w:r>
    </w:p>
    <w:bookmarkEnd w:id="23"/>
    <w:bookmarkStart w:id="24" w:name="invoice-tolerance"/>
    <w:p>
      <w:pPr>
        <w:pStyle w:val="Heading2"/>
      </w:pPr>
      <w:r>
        <w:t xml:space="preserve">5. Invoice Tolerance</w:t>
      </w:r>
    </w:p>
    <w:p>
      <w:pPr>
        <w:pStyle w:val="FirstParagraph"/>
      </w:pPr>
      <w:r>
        <w:t xml:space="preserve">Invoices submitted against an active contract must not exceed the approved</w:t>
      </w:r>
      <w:r>
        <w:t xml:space="preserve"> </w:t>
      </w:r>
      <w:r>
        <w:t xml:space="preserve">contract value by more than</w:t>
      </w:r>
      <w:r>
        <w:t xml:space="preserve"> </w:t>
      </w:r>
      <w:r>
        <w:rPr>
          <w:bCs/>
          <w:b/>
        </w:rPr>
        <w:t xml:space="preserve">5%</w:t>
      </w:r>
      <w:r>
        <w:t xml:space="preserve"> </w:t>
      </w:r>
      <w:r>
        <w:t xml:space="preserve">without a formal contract amendment on</w:t>
      </w:r>
      <w:r>
        <w:t xml:space="preserve"> </w:t>
      </w:r>
      <w:r>
        <w:t xml:space="preserve">file. Invoices exceeding this tolerance must be flagged as a compliance</w:t>
      </w:r>
      <w:r>
        <w:t xml:space="preserve"> </w:t>
      </w:r>
      <w:r>
        <w:t xml:space="preserve">warning and routed back to the contract owner for review.</w:t>
      </w:r>
    </w:p>
    <w:bookmarkEnd w:id="24"/>
    <w:bookmarkStart w:id="25" w:name="supplier-verification"/>
    <w:p>
      <w:pPr>
        <w:pStyle w:val="Heading2"/>
      </w:pPr>
      <w:r>
        <w:t xml:space="preserve">6. Supplier Verification</w:t>
      </w:r>
    </w:p>
    <w:p>
      <w:pPr>
        <w:pStyle w:val="FirstParagraph"/>
      </w:pPr>
      <w:r>
        <w:t xml:space="preserve">All invoices must be validated against the supplier name and tax ID recorded</w:t>
      </w:r>
      <w:r>
        <w:t xml:space="preserve"> </w:t>
      </w:r>
      <w:r>
        <w:t xml:space="preserve">in the original contract. Mismatches must be treated as a compliance failure,</w:t>
      </w:r>
      <w:r>
        <w:t xml:space="preserve"> </w:t>
      </w:r>
      <w:r>
        <w:t xml:space="preserve">not a warning, and escalated immediately.</w:t>
      </w:r>
    </w:p>
    <w:bookmarkEnd w:id="25"/>
    <w:bookmarkStart w:id="26" w:name="contract-termination"/>
    <w:p>
      <w:pPr>
        <w:pStyle w:val="Heading2"/>
      </w:pPr>
      <w:r>
        <w:t xml:space="preserve">7. Contract Termination</w:t>
      </w:r>
    </w:p>
    <w:p>
      <w:pPr>
        <w:pStyle w:val="FirstParagraph"/>
      </w:pPr>
      <w:r>
        <w:t xml:space="preserve">Contracts may be terminated for cause (breach, non-performance) with 15 days</w:t>
      </w:r>
      <w:r>
        <w:t xml:space="preserve"> </w:t>
      </w:r>
      <w:r>
        <w:t xml:space="preserve">written notice, or for convenience with 30 days written notice, unless a</w:t>
      </w:r>
      <w:r>
        <w:t xml:space="preserve"> </w:t>
      </w:r>
      <w:r>
        <w:t xml:space="preserve">different notice period is explicitly negotiated in the contract.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