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endor-risk-management-policy"/>
    <w:p>
      <w:pPr>
        <w:pStyle w:val="Heading1"/>
      </w:pPr>
      <w:r>
        <w:t xml:space="preserve">Vendor Risk Management Policy</w:t>
      </w:r>
    </w:p>
    <w:p>
      <w:pPr>
        <w:pStyle w:val="FirstParagraph"/>
      </w:pPr>
      <w:r>
        <w:t xml:space="preserve">Document ID: POL-VRM-005</w:t>
      </w:r>
      <w:r>
        <w:t xml:space="preserve"> </w:t>
      </w:r>
      <w:r>
        <w:t xml:space="preserve">Version: 4.0</w:t>
      </w:r>
      <w:r>
        <w:t xml:space="preserve"> </w:t>
      </w:r>
      <w:r>
        <w:t xml:space="preserve">Effective Date: 2025-08-01</w:t>
      </w:r>
      <w:r>
        <w:t xml:space="preserve"> </w:t>
      </w:r>
      <w:r>
        <w:t xml:space="preserve">Owner: Enterprise Risk Management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policy establishes the framework for assessing, monitoring, and</w:t>
      </w:r>
      <w:r>
        <w:t xml:space="preserve"> </w:t>
      </w:r>
      <w:r>
        <w:t xml:space="preserve">mitigating risks associated with third-party vendors and suppliers across</w:t>
      </w:r>
      <w:r>
        <w:t xml:space="preserve"> </w:t>
      </w:r>
      <w:r>
        <w:t xml:space="preserve">their full engagement lifecycle, from onboarding through offboarding. It</w:t>
      </w:r>
      <w:r>
        <w:t xml:space="preserve"> </w:t>
      </w:r>
      <w:r>
        <w:t xml:space="preserve">applies to all vendors with access to Company systems, data, facilities, or</w:t>
      </w:r>
      <w:r>
        <w:t xml:space="preserve"> </w:t>
      </w:r>
      <w:r>
        <w:t xml:space="preserve">that provide services material to Company operations.</w:t>
      </w:r>
    </w:p>
    <w:bookmarkEnd w:id="20"/>
    <w:bookmarkStart w:id="25" w:name="vendor-risk-tiers"/>
    <w:p>
      <w:pPr>
        <w:pStyle w:val="Heading2"/>
      </w:pPr>
      <w:r>
        <w:t xml:space="preserve">2. Vendor Risk Tiers</w:t>
      </w:r>
    </w:p>
    <w:p>
      <w:pPr>
        <w:pStyle w:val="FirstParagraph"/>
      </w:pPr>
      <w:r>
        <w:t xml:space="preserve">Vendors are classified into one of four risk tiers at onboarding and</w:t>
      </w:r>
      <w:r>
        <w:t xml:space="preserve"> </w:t>
      </w:r>
      <w:r>
        <w:t xml:space="preserve">reassessed annually or upon material change in scope:</w:t>
      </w:r>
    </w:p>
    <w:bookmarkStart w:id="21" w:name="tier-1-critical"/>
    <w:p>
      <w:pPr>
        <w:pStyle w:val="Heading3"/>
      </w:pPr>
      <w:r>
        <w:t xml:space="preserve">Tier 1 — Critical</w:t>
      </w:r>
    </w:p>
    <w:p>
      <w:pPr>
        <w:pStyle w:val="FirstParagraph"/>
      </w:pPr>
      <w:r>
        <w:t xml:space="preserve">Vendors with access to Restricted data, core production systems, or whose</w:t>
      </w:r>
      <w:r>
        <w:t xml:space="preserve"> </w:t>
      </w:r>
      <w:r>
        <w:t xml:space="preserve">failure would materially disrupt operations. Requires:</w:t>
      </w:r>
      <w:r>
        <w:t xml:space="preserve"> </w:t>
      </w:r>
      <w:r>
        <w:t xml:space="preserve">- Annual on-site or virtual security audit</w:t>
      </w:r>
      <w:r>
        <w:t xml:space="preserve"> </w:t>
      </w:r>
      <w:r>
        <w:t xml:space="preserve">- SOC 2 Type II report (or equivalent) on file, renewed annually</w:t>
      </w:r>
      <w:r>
        <w:t xml:space="preserve"> </w:t>
      </w:r>
      <w:r>
        <w:t xml:space="preserve">- Business continuity plan review</w:t>
      </w:r>
      <w:r>
        <w:t xml:space="preserve"> </w:t>
      </w:r>
      <w:r>
        <w:t xml:space="preserve">- Executive sponsor sign-off at onboarding and each renewal</w:t>
      </w:r>
      <w:r>
        <w:t xml:space="preserve"> </w:t>
      </w:r>
      <w:r>
        <w:t xml:space="preserve">- Quarterly business review meetings</w:t>
      </w:r>
    </w:p>
    <w:bookmarkEnd w:id="21"/>
    <w:bookmarkStart w:id="22" w:name="tier-2-high"/>
    <w:p>
      <w:pPr>
        <w:pStyle w:val="Heading3"/>
      </w:pPr>
      <w:r>
        <w:t xml:space="preserve">Tier 2 — High</w:t>
      </w:r>
    </w:p>
    <w:p>
      <w:pPr>
        <w:pStyle w:val="FirstParagraph"/>
      </w:pPr>
      <w:r>
        <w:t xml:space="preserve">Vendors with access to Confidential data or systems supporting important</w:t>
      </w:r>
      <w:r>
        <w:t xml:space="preserve"> </w:t>
      </w:r>
      <w:r>
        <w:t xml:space="preserve">but non-core functions. Requires:</w:t>
      </w:r>
      <w:r>
        <w:t xml:space="preserve"> </w:t>
      </w:r>
      <w:r>
        <w:t xml:space="preserve">- Security questionnaire completed annually</w:t>
      </w:r>
      <w:r>
        <w:t xml:space="preserve"> </w:t>
      </w:r>
      <w:r>
        <w:t xml:space="preserve">- SOC 2 Type I or equivalent attestation</w:t>
      </w:r>
      <w:r>
        <w:t xml:space="preserve"> </w:t>
      </w:r>
      <w:r>
        <w:t xml:space="preserve">- Semi-annual business review</w:t>
      </w:r>
    </w:p>
    <w:bookmarkEnd w:id="22"/>
    <w:bookmarkStart w:id="23" w:name="tier-3-moderate"/>
    <w:p>
      <w:pPr>
        <w:pStyle w:val="Heading3"/>
      </w:pPr>
      <w:r>
        <w:t xml:space="preserve">Tier 3 — Moderate</w:t>
      </w:r>
    </w:p>
    <w:p>
      <w:pPr>
        <w:pStyle w:val="FirstParagraph"/>
      </w:pPr>
      <w:r>
        <w:t xml:space="preserve">Vendors with access to Internal data only, no direct system access.</w:t>
      </w:r>
      <w:r>
        <w:t xml:space="preserve"> </w:t>
      </w:r>
      <w:r>
        <w:t xml:space="preserve">Requires:</w:t>
      </w:r>
      <w:r>
        <w:t xml:space="preserve"> </w:t>
      </w:r>
      <w:r>
        <w:t xml:space="preserve">- Security questionnaire at onboarding, refreshed every 2 years</w:t>
      </w:r>
      <w:r>
        <w:t xml:space="preserve"> </w:t>
      </w:r>
      <w:r>
        <w:t xml:space="preserve">- Standard contractual data protection clauses</w:t>
      </w:r>
    </w:p>
    <w:bookmarkEnd w:id="23"/>
    <w:bookmarkStart w:id="24" w:name="tier-4-low"/>
    <w:p>
      <w:pPr>
        <w:pStyle w:val="Heading3"/>
      </w:pPr>
      <w:r>
        <w:t xml:space="preserve">Tier 4 — Low</w:t>
      </w:r>
    </w:p>
    <w:p>
      <w:pPr>
        <w:pStyle w:val="FirstParagraph"/>
      </w:pPr>
      <w:r>
        <w:t xml:space="preserve">Vendors with no access to Company data or systems (e.g., facilities,</w:t>
      </w:r>
      <w:r>
        <w:t xml:space="preserve"> </w:t>
      </w:r>
      <w:r>
        <w:t xml:space="preserve">catering). Requires:</w:t>
      </w:r>
      <w:r>
        <w:t xml:space="preserve"> </w:t>
      </w:r>
      <w:r>
        <w:t xml:space="preserve">- Standard procurement onboarding only; no additional risk assessment</w:t>
      </w:r>
    </w:p>
    <w:bookmarkEnd w:id="24"/>
    <w:bookmarkEnd w:id="25"/>
    <w:bookmarkStart w:id="26" w:name="onboarding-requirements"/>
    <w:p>
      <w:pPr>
        <w:pStyle w:val="Heading2"/>
      </w:pPr>
      <w:r>
        <w:t xml:space="preserve">3. Onboarding Requirements</w:t>
      </w:r>
    </w:p>
    <w:p>
      <w:pPr>
        <w:pStyle w:val="FirstParagraph"/>
      </w:pPr>
      <w:r>
        <w:t xml:space="preserve">Before a contract can be executed with a new vendor, Procurement must:</w:t>
      </w:r>
      <w:r>
        <w:t xml:space="preserve"> </w:t>
      </w:r>
      <w:r>
        <w:t xml:space="preserve">1. Determine the appropriate risk tier based on data/system access scope</w:t>
      </w:r>
      <w:r>
        <w:t xml:space="preserve"> </w:t>
      </w:r>
      <w:r>
        <w:t xml:space="preserve">2. Confirm the vendor has completed all tier-appropriate assessments</w:t>
      </w:r>
      <w:r>
        <w:t xml:space="preserve"> </w:t>
      </w:r>
      <w:r>
        <w:t xml:space="preserve">3. Verify insurance coverage meets minimum thresholds (see Section 6)</w:t>
      </w:r>
      <w:r>
        <w:t xml:space="preserve"> </w:t>
      </w:r>
      <w:r>
        <w:t xml:space="preserve">4. Confirm the contract includes all mandatory clauses per Procurement</w:t>
      </w:r>
      <w:r>
        <w:t xml:space="preserve"> </w:t>
      </w:r>
      <w:r>
        <w:t xml:space="preserve">Policy POL-PROC-001 and, where applicable, the data privacy clause</w:t>
      </w:r>
      <w:r>
        <w:t xml:space="preserve"> </w:t>
      </w:r>
      <w:r>
        <w:t xml:space="preserve">required by Information Security Policy POL-SEC-002</w:t>
      </w:r>
      <w:r>
        <w:t xml:space="preserve"> </w:t>
      </w:r>
      <w:r>
        <w:t xml:space="preserve">5. Screen the vendor against sanctions and watch lists</w:t>
      </w:r>
    </w:p>
    <w:p>
      <w:pPr>
        <w:pStyle w:val="BodyText"/>
      </w:pPr>
      <w:r>
        <w:t xml:space="preserve">Contracts executed without completing tier-appropriate onboarding steps are</w:t>
      </w:r>
      <w:r>
        <w:t xml:space="preserve"> </w:t>
      </w:r>
      <w:r>
        <w:t xml:space="preserve">considered non-compliant regardless of contract value.</w:t>
      </w:r>
    </w:p>
    <w:bookmarkEnd w:id="26"/>
    <w:bookmarkStart w:id="27" w:name="ongoing-monitoring"/>
    <w:p>
      <w:pPr>
        <w:pStyle w:val="Heading2"/>
      </w:pPr>
      <w:r>
        <w:t xml:space="preserve">4. Ongoing Monitoring</w:t>
      </w:r>
    </w:p>
    <w:p>
      <w:pPr>
        <w:numPr>
          <w:ilvl w:val="0"/>
          <w:numId w:val="1001"/>
        </w:numPr>
        <w:pStyle w:val="Compact"/>
      </w:pPr>
      <w:r>
        <w:t xml:space="preserve">Tier 1 and Tier 2 vendors must be reassessed at least annually.</w:t>
      </w:r>
    </w:p>
    <w:p>
      <w:pPr>
        <w:numPr>
          <w:ilvl w:val="0"/>
          <w:numId w:val="1001"/>
        </w:numPr>
        <w:pStyle w:val="Compact"/>
      </w:pPr>
      <w:r>
        <w:t xml:space="preserve">Any security incident involving a vendor (breach, outage, data loss) must</w:t>
      </w:r>
      <w:r>
        <w:t xml:space="preserve"> </w:t>
      </w:r>
      <w:r>
        <w:t xml:space="preserve">trigger an immediate off-cycle risk reassessment.</w:t>
      </w:r>
    </w:p>
    <w:p>
      <w:pPr>
        <w:numPr>
          <w:ilvl w:val="0"/>
          <w:numId w:val="1001"/>
        </w:numPr>
        <w:pStyle w:val="Compact"/>
      </w:pPr>
      <w:r>
        <w:t xml:space="preserve">Vendor risk scores must be reviewed by Enterprise Risk Management before</w:t>
      </w:r>
      <w:r>
        <w:t xml:space="preserve"> </w:t>
      </w:r>
      <w:r>
        <w:t xml:space="preserve">any contract renewal or amendment increasing scope of data access.</w:t>
      </w:r>
    </w:p>
    <w:bookmarkEnd w:id="27"/>
    <w:bookmarkStart w:id="28" w:name="fourth-party-subcontractor-risk"/>
    <w:p>
      <w:pPr>
        <w:pStyle w:val="Heading2"/>
      </w:pPr>
      <w:r>
        <w:t xml:space="preserve">5. Fourth-Party (Subcontractor) Risk</w:t>
      </w:r>
    </w:p>
    <w:p>
      <w:pPr>
        <w:pStyle w:val="FirstParagraph"/>
      </w:pPr>
      <w:r>
        <w:t xml:space="preserve">Vendors that use subcontractors to fulfill contracted services must</w:t>
      </w:r>
      <w:r>
        <w:t xml:space="preserve"> </w:t>
      </w:r>
      <w:r>
        <w:t xml:space="preserve">disclose all subcontractors with access to Company data. The vendor remains</w:t>
      </w:r>
      <w:r>
        <w:t xml:space="preserve"> </w:t>
      </w:r>
      <w:r>
        <w:t xml:space="preserve">fully liable for subcontractor compliance with this policy and the</w:t>
      </w:r>
      <w:r>
        <w:t xml:space="preserve"> </w:t>
      </w:r>
      <w:r>
        <w:t xml:space="preserve">underlying contract’s data protection terms. Undisclosed subcontracting</w:t>
      </w:r>
      <w:r>
        <w:t xml:space="preserve"> </w:t>
      </w:r>
      <w:r>
        <w:t xml:space="preserve">that involves data access is treated as a material breach.</w:t>
      </w:r>
    </w:p>
    <w:bookmarkEnd w:id="28"/>
    <w:bookmarkStart w:id="29" w:name="insurance-requirements"/>
    <w:p>
      <w:pPr>
        <w:pStyle w:val="Heading2"/>
      </w:pPr>
      <w:r>
        <w:t xml:space="preserve">6. Insurance Requirements</w:t>
      </w:r>
    </w:p>
    <w:p>
      <w:pPr>
        <w:pStyle w:val="FirstParagraph"/>
      </w:pPr>
      <w:r>
        <w:t xml:space="preserve">Minimum insurance coverage by tier: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</w:tbl>
    <w:p>
      <w:pPr>
        <w:pStyle w:val="BodyText"/>
      </w:pPr>
      <w:r>
        <w:t xml:space="preserve">Proof of insurance must be on file before contract execution and renewed</w:t>
      </w:r>
      <w:r>
        <w:t xml:space="preserve"> </w:t>
      </w:r>
      <w:r>
        <w:t xml:space="preserve">annually; lapses must be flagged and may trigger contract suspension.</w:t>
      </w:r>
    </w:p>
    <w:bookmarkEnd w:id="29"/>
    <w:bookmarkStart w:id="30" w:name="offboarding"/>
    <w:p>
      <w:pPr>
        <w:pStyle w:val="Heading2"/>
      </w:pPr>
      <w:r>
        <w:t xml:space="preserve">7. Offboarding</w:t>
      </w:r>
    </w:p>
    <w:p>
      <w:pPr>
        <w:pStyle w:val="FirstParagraph"/>
      </w:pPr>
      <w:r>
        <w:t xml:space="preserve">At contract termination or expiration, the vendor must:</w:t>
      </w:r>
      <w:r>
        <w:t xml:space="preserve"> </w:t>
      </w:r>
      <w:r>
        <w:t xml:space="preserve">1. Return or securely destroy all Company data within 30 days, with</w:t>
      </w:r>
      <w:r>
        <w:t xml:space="preserve"> </w:t>
      </w:r>
      <w:r>
        <w:t xml:space="preserve">written certification of destruction for Tier 1 and Tier 2 vendors</w:t>
      </w:r>
      <w:r>
        <w:t xml:space="preserve"> </w:t>
      </w:r>
      <w:r>
        <w:t xml:space="preserve">2. Have all system access revoked within 24 hours of termination</w:t>
      </w:r>
      <w:r>
        <w:t xml:space="preserve"> </w:t>
      </w:r>
      <w:r>
        <w:t xml:space="preserve">3. Complete a final risk closure review documenting any outstanding issues</w:t>
      </w:r>
    </w:p>
    <w:bookmarkEnd w:id="30"/>
    <w:bookmarkStart w:id="31" w:name="exceptions"/>
    <w:p>
      <w:pPr>
        <w:pStyle w:val="Heading2"/>
      </w:pPr>
      <w:r>
        <w:t xml:space="preserve">8. Exceptions</w:t>
      </w:r>
    </w:p>
    <w:p>
      <w:pPr>
        <w:pStyle w:val="FirstParagraph"/>
      </w:pPr>
      <w:r>
        <w:t xml:space="preserve">Any exception to this policy requires written approval from the Chief Risk</w:t>
      </w:r>
      <w:r>
        <w:t xml:space="preserve"> </w:t>
      </w:r>
      <w:r>
        <w:t xml:space="preserve">Officer and must be time-bound with a defined remediation plan. Exceptions</w:t>
      </w:r>
      <w:r>
        <w:t xml:space="preserve"> </w:t>
      </w:r>
      <w:r>
        <w:t xml:space="preserve">cannot be granted for Tier 1 vendors without additional Board Risk Committee</w:t>
      </w:r>
      <w:r>
        <w:t xml:space="preserve"> </w:t>
      </w:r>
      <w:r>
        <w:t xml:space="preserve">notification.</w:t>
      </w:r>
    </w:p>
    <w:bookmarkEnd w:id="31"/>
    <w:bookmarkStart w:id="32" w:name="roles-and-responsibilities"/>
    <w:p>
      <w:pPr>
        <w:pStyle w:val="Heading2"/>
      </w:pPr>
      <w:r>
        <w:t xml:space="preserve">9. Roles and Responsibilities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Procurement</w:t>
      </w:r>
      <w:r>
        <w:t xml:space="preserve">: initial tier classification, onboarding checklist</w:t>
      </w:r>
      <w:r>
        <w:t xml:space="preserve"> </w:t>
      </w:r>
      <w:r>
        <w:t xml:space="preserve">completion, contract clause verification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Enterprise Risk Management</w:t>
      </w:r>
      <w:r>
        <w:t xml:space="preserve">: ongoing monitoring, annual reassessments,</w:t>
      </w:r>
      <w:r>
        <w:t xml:space="preserve"> </w:t>
      </w:r>
      <w:r>
        <w:t xml:space="preserve">exception approvals below CRO threshold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Information Security</w:t>
      </w:r>
      <w:r>
        <w:t xml:space="preserve">: security questionnaire review, breach response</w:t>
      </w:r>
      <w:r>
        <w:t xml:space="preserve"> </w:t>
      </w:r>
      <w:r>
        <w:t xml:space="preserve">coordination, SOC 2 report evaluation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Legal</w:t>
      </w:r>
      <w:r>
        <w:t xml:space="preserve">: contract clause sufficiency review for Tier 1 and Tier 2</w:t>
      </w:r>
      <w:r>
        <w:t xml:space="preserve"> </w:t>
      </w:r>
      <w:r>
        <w:t xml:space="preserve">vendors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Business Owner</w:t>
      </w:r>
      <w:r>
        <w:t xml:space="preserve">: day-to-day vendor relationship management and</w:t>
      </w:r>
      <w:r>
        <w:t xml:space="preserve"> </w:t>
      </w:r>
      <w:r>
        <w:t xml:space="preserve">escalation of performance or risk concerns</w:t>
      </w:r>
    </w:p>
    <w:bookmarkEnd w:id="32"/>
    <w:bookmarkStart w:id="33" w:name="related-documents"/>
    <w:p>
      <w:pPr>
        <w:pStyle w:val="Heading2"/>
      </w:pPr>
      <w:r>
        <w:t xml:space="preserve">10. Related Documents</w:t>
      </w:r>
    </w:p>
    <w:p>
      <w:pPr>
        <w:numPr>
          <w:ilvl w:val="0"/>
          <w:numId w:val="1003"/>
        </w:numPr>
        <w:pStyle w:val="Compact"/>
      </w:pPr>
      <w:r>
        <w:t xml:space="preserve">Procurement Policy (POL-PROC-001)</w:t>
      </w:r>
    </w:p>
    <w:p>
      <w:pPr>
        <w:numPr>
          <w:ilvl w:val="0"/>
          <w:numId w:val="1003"/>
        </w:numPr>
        <w:pStyle w:val="Compact"/>
      </w:pPr>
      <w:r>
        <w:t xml:space="preserve">Information Security Policy (POL-SEC-002)</w:t>
      </w:r>
    </w:p>
    <w:p>
      <w:pPr>
        <w:numPr>
          <w:ilvl w:val="0"/>
          <w:numId w:val="1003"/>
        </w:numPr>
        <w:pStyle w:val="Compact"/>
      </w:pPr>
      <w:r>
        <w:t xml:space="preserve">Payment Policy (POL-PAY-003)</w:t>
      </w:r>
    </w:p>
    <w:p>
      <w:pPr>
        <w:numPr>
          <w:ilvl w:val="0"/>
          <w:numId w:val="1003"/>
        </w:numPr>
        <w:pStyle w:val="Compact"/>
      </w:pPr>
      <w:r>
        <w:t xml:space="preserve">SOP: Contract Approval Process (SOP-CA-010)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2026-07-28T09:56:11Z</dcterms:created>
  <dcterms:modified xsi:type="dcterms:W3CDTF">2026-07-28T09:56:11Z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