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upplier-agreement-draft-pending-review"/>
    <w:p>
      <w:pPr>
        <w:pStyle w:val="Heading1"/>
      </w:pPr>
      <w:r>
        <w:t xml:space="preserve">Supplier Agreement (DRAFT — Pending Review)</w:t>
      </w:r>
    </w:p>
    <w:p>
      <w:pPr>
        <w:pStyle w:val="FirstParagraph"/>
      </w:pPr>
      <w:r>
        <w:t xml:space="preserve">Contract ID: CTR-2026-0191</w:t>
      </w:r>
      <w:r>
        <w:t xml:space="preserve"> </w:t>
      </w:r>
      <w:r>
        <w:t xml:space="preserve">Supplier: Castellan Security Integrations Inc.</w:t>
      </w:r>
      <w:r>
        <w:t xml:space="preserve"> </w:t>
      </w:r>
      <w:r>
        <w:t xml:space="preserve">Tax ID: 55-9081247</w:t>
      </w:r>
      <w:r>
        <w:t xml:space="preserve"> </w:t>
      </w:r>
      <w:r>
        <w:t xml:space="preserve">Contract Owner: D. Whitfield, Procurement</w:t>
      </w:r>
      <w:r>
        <w:t xml:space="preserve"> </w:t>
      </w:r>
      <w:r>
        <w:t xml:space="preserve">Total Contract Value: $412,000 USD</w:t>
      </w:r>
      <w:r>
        <w:t xml:space="preserve"> </w:t>
      </w:r>
      <w:r>
        <w:t xml:space="preserve">Contract Validity Period: 2026-10-01 to 2028-09-30</w:t>
      </w:r>
      <w:r>
        <w:t xml:space="preserve"> </w:t>
      </w:r>
      <w:r>
        <w:t xml:space="preserve">Supplier Relationship: New supplier — first engagement</w:t>
      </w:r>
    </w:p>
    <w:bookmarkStart w:id="20" w:name="scope-of-work"/>
    <w:p>
      <w:pPr>
        <w:pStyle w:val="Heading2"/>
      </w:pPr>
      <w:r>
        <w:t xml:space="preserve">1. Scope of Work</w:t>
      </w:r>
    </w:p>
    <w:p>
      <w:pPr>
        <w:pStyle w:val="FirstParagraph"/>
      </w:pPr>
      <w:r>
        <w:t xml:space="preserve">Castellan Security Integrations Inc. shall design, install, and maintain</w:t>
      </w:r>
      <w:r>
        <w:t xml:space="preserve"> </w:t>
      </w:r>
      <w:r>
        <w:t xml:space="preserve">physical security systems (badge access, CCTV, intrusion detection) across</w:t>
      </w:r>
      <w:r>
        <w:t xml:space="preserve"> </w:t>
      </w:r>
      <w:r>
        <w:t xml:space="preserve">three Company facilities, as detailed in Exhibit A.</w:t>
      </w:r>
    </w:p>
    <w:bookmarkEnd w:id="20"/>
    <w:bookmarkStart w:id="21" w:name="payment-terms"/>
    <w:p>
      <w:pPr>
        <w:pStyle w:val="Heading2"/>
      </w:pPr>
      <w:r>
        <w:t xml:space="preserve">2. Payment Terms</w:t>
      </w:r>
    </w:p>
    <w:p>
      <w:pPr>
        <w:pStyle w:val="FirstParagraph"/>
      </w:pPr>
      <w:r>
        <w:t xml:space="preserve">An initial payment of $164,800 (40% of total contract value) is due upon</w:t>
      </w:r>
      <w:r>
        <w:t xml:space="preserve"> </w:t>
      </w:r>
      <w:r>
        <w:t xml:space="preserve">signing to cover equipment procurement. Remaining balance paid in 18 equal</w:t>
      </w:r>
      <w:r>
        <w:t xml:space="preserve"> </w:t>
      </w:r>
      <w:r>
        <w:t xml:space="preserve">monthly installments of $13,733.33 following installation completion.</w:t>
      </w:r>
    </w:p>
    <w:bookmarkEnd w:id="21"/>
    <w:bookmarkStart w:id="22" w:name="deliverables"/>
    <w:p>
      <w:pPr>
        <w:pStyle w:val="Heading2"/>
      </w:pPr>
      <w:r>
        <w:t xml:space="preserve">3. Deliverables</w:t>
      </w:r>
    </w:p>
    <w:p>
      <w:pPr>
        <w:numPr>
          <w:ilvl w:val="0"/>
          <w:numId w:val="1001"/>
        </w:numPr>
        <w:pStyle w:val="Compact"/>
      </w:pPr>
      <w:r>
        <w:t xml:space="preserve">Facility security system design documentation</w:t>
      </w:r>
    </w:p>
    <w:p>
      <w:pPr>
        <w:numPr>
          <w:ilvl w:val="0"/>
          <w:numId w:val="1001"/>
        </w:numPr>
        <w:pStyle w:val="Compact"/>
      </w:pPr>
      <w:r>
        <w:t xml:space="preserve">Installation completion certification per site</w:t>
      </w:r>
    </w:p>
    <w:p>
      <w:pPr>
        <w:numPr>
          <w:ilvl w:val="0"/>
          <w:numId w:val="1001"/>
        </w:numPr>
        <w:pStyle w:val="Compact"/>
      </w:pPr>
      <w:r>
        <w:t xml:space="preserve">Quarterly system maintenance and testing report</w:t>
      </w:r>
    </w:p>
    <w:bookmarkEnd w:id="22"/>
    <w:bookmarkStart w:id="23" w:name="termination"/>
    <w:p>
      <w:pPr>
        <w:pStyle w:val="Heading2"/>
      </w:pPr>
      <w:r>
        <w:t xml:space="preserve">4. Termination</w:t>
      </w:r>
    </w:p>
    <w:p>
      <w:pPr>
        <w:pStyle w:val="FirstParagraph"/>
      </w:pPr>
      <w:r>
        <w:t xml:space="preserve">Either party may terminate for convenience with 45 days written notice.</w:t>
      </w:r>
    </w:p>
    <w:bookmarkEnd w:id="23"/>
    <w:bookmarkStart w:id="24" w:name="data-privacy-and-confidentiality"/>
    <w:p>
      <w:pPr>
        <w:pStyle w:val="Heading2"/>
      </w:pPr>
      <w:r>
        <w:t xml:space="preserve">5. Data Privacy and Confidentiality</w:t>
      </w:r>
    </w:p>
    <w:p>
      <w:pPr>
        <w:pStyle w:val="FirstParagraph"/>
      </w:pPr>
      <w:r>
        <w:t xml:space="preserve">Castellan shall not use Company facility layout or security system data</w:t>
      </w:r>
      <w:r>
        <w:t xml:space="preserve"> </w:t>
      </w:r>
      <w:r>
        <w:t xml:space="preserve">for any purpose outside this agreement, shall notify the Company of any</w:t>
      </w:r>
      <w:r>
        <w:t xml:space="preserve"> </w:t>
      </w:r>
      <w:r>
        <w:t xml:space="preserve">data breach within 72 hours, and shall comply with applicable data</w:t>
      </w:r>
      <w:r>
        <w:t xml:space="preserve"> </w:t>
      </w:r>
      <w:r>
        <w:t xml:space="preserve">protection regulations. The Company reserves the right to audit data</w:t>
      </w:r>
      <w:r>
        <w:t xml:space="preserve"> </w:t>
      </w:r>
      <w:r>
        <w:t xml:space="preserve">handling practices.</w:t>
      </w:r>
    </w:p>
    <w:bookmarkEnd w:id="24"/>
    <w:bookmarkStart w:id="25" w:name="liability-and-indemnification"/>
    <w:p>
      <w:pPr>
        <w:pStyle w:val="Heading2"/>
      </w:pPr>
      <w:r>
        <w:t xml:space="preserve">6. Liability and Indemnification</w:t>
      </w:r>
    </w:p>
    <w:p>
      <w:pPr>
        <w:pStyle w:val="FirstParagraph"/>
      </w:pPr>
      <w:r>
        <w:t xml:space="preserve">Castellan shall indemnify the Company against claims arising from its</w:t>
      </w:r>
      <w:r>
        <w:t xml:space="preserve"> </w:t>
      </w:r>
      <w:r>
        <w:t xml:space="preserve">negligence, capped at total contract value.</w:t>
      </w:r>
    </w:p>
    <w:bookmarkEnd w:id="25"/>
    <w:bookmarkStart w:id="26" w:name="governing-law"/>
    <w:p>
      <w:pPr>
        <w:pStyle w:val="Heading2"/>
      </w:pPr>
      <w:r>
        <w:t xml:space="preserve">7. Governing Law</w:t>
      </w:r>
    </w:p>
    <w:p>
      <w:pPr>
        <w:pStyle w:val="FirstParagraph"/>
      </w:pPr>
      <w:r>
        <w:t xml:space="preserve">This agreement shall be governed by the laws of the state in which the</w:t>
      </w:r>
      <w:r>
        <w:t xml:space="preserve"> </w:t>
      </w:r>
      <w:r>
        <w:t xml:space="preserve">Company’s headquarters is located.</w:t>
      </w:r>
    </w:p>
    <w:bookmarkEnd w:id="26"/>
    <w:bookmarkStart w:id="27" w:name="submitted-for-approval"/>
    <w:p>
      <w:pPr>
        <w:pStyle w:val="Heading2"/>
      </w:pPr>
      <w:r>
        <w:t xml:space="preserve">Submitted For Approval</w:t>
      </w:r>
    </w:p>
    <w:p>
      <w:pPr>
        <w:pStyle w:val="FirstParagraph"/>
      </w:pPr>
      <w:r>
        <w:t xml:space="preserve">Submitted by: D. Whitfield, VP of Procurement</w:t>
      </w:r>
      <w:r>
        <w:t xml:space="preserve"> </w:t>
      </w:r>
      <w:r>
        <w:t xml:space="preserve">Date: 2026-09-18</w:t>
      </w:r>
      <w:r>
        <w:t xml:space="preserve"> </w:t>
      </w:r>
      <w:r>
        <w:t xml:space="preserve">Status: Pending Review — not yet executed</w:t>
      </w:r>
    </w:p>
    <w:p>
      <w:pPr>
        <w:pStyle w:val="BodyText"/>
      </w:pPr>
      <w:r>
        <w:rPr>
          <w:iCs/>
          <w:i/>
        </w:rPr>
        <w:t xml:space="preserve">(Note: no CFO sign-off or Legal Review documentation attached, despite</w:t>
      </w:r>
      <w:r>
        <w:rPr>
          <w:iCs/>
          <w:i/>
        </w:rPr>
        <w:t xml:space="preserve"> </w:t>
      </w:r>
      <w:r>
        <w:rPr>
          <w:iCs/>
          <w:i/>
        </w:rPr>
        <w:t xml:space="preserve">contract value exceeding the $250,000 mandatory-review threshold. Advance</w:t>
      </w:r>
      <w:r>
        <w:rPr>
          <w:iCs/>
          <w:i/>
        </w:rPr>
        <w:t xml:space="preserve"> </w:t>
      </w:r>
      <w:r>
        <w:rPr>
          <w:iCs/>
          <w:i/>
        </w:rPr>
        <w:t xml:space="preserve">payment of 40% also exceeds the 20% new-supplier cap with no VP written</w:t>
      </w:r>
      <w:r>
        <w:rPr>
          <w:iCs/>
          <w:i/>
        </w:rPr>
        <w:t xml:space="preserve"> </w:t>
      </w:r>
      <w:r>
        <w:rPr>
          <w:iCs/>
          <w:i/>
        </w:rPr>
        <w:t xml:space="preserve">approval on file for the excess.)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2026-07-27T07:30:48Z</dcterms:created>
  <dcterms:modified xsi:type="dcterms:W3CDTF">2026-07-27T07:30:48Z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