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pplier-agreement-draft-pending-review"/>
    <w:p>
      <w:pPr>
        <w:pStyle w:val="Heading1"/>
      </w:pPr>
      <w:r>
        <w:t xml:space="preserve">Supplier Agreement (DRAFT — Pending Review)</w:t>
      </w:r>
    </w:p>
    <w:p>
      <w:pPr>
        <w:pStyle w:val="FirstParagraph"/>
      </w:pPr>
      <w:r>
        <w:t xml:space="preserve">Contract ID: CTR-2026-0183</w:t>
      </w:r>
      <w:r>
        <w:t xml:space="preserve"> </w:t>
      </w:r>
      <w:r>
        <w:t xml:space="preserve">Supplier: Ridgeline Office Supply Co.</w:t>
      </w:r>
      <w:r>
        <w:t xml:space="preserve"> </w:t>
      </w:r>
      <w:r>
        <w:t xml:space="preserve">Tax ID: 17-3392044</w:t>
      </w:r>
      <w:r>
        <w:t xml:space="preserve"> </w:t>
      </w:r>
      <w:r>
        <w:t xml:space="preserve">Contract Owner: F. Osei, Procurement</w:t>
      </w:r>
      <w:r>
        <w:t xml:space="preserve"> </w:t>
      </w:r>
      <w:r>
        <w:t xml:space="preserve">Total Contract Value: $34,200 USD</w:t>
      </w:r>
      <w:r>
        <w:t xml:space="preserve"> </w:t>
      </w:r>
      <w:r>
        <w:t xml:space="preserve">Contract Validity Period: 2026-09-01 to 2027-08-31</w:t>
      </w:r>
    </w:p>
    <w:bookmarkStart w:id="20" w:name="scope-of-work"/>
    <w:p>
      <w:pPr>
        <w:pStyle w:val="Heading2"/>
      </w:pPr>
      <w:r>
        <w:t xml:space="preserve">1. Scope of Work</w:t>
      </w:r>
    </w:p>
    <w:p>
      <w:pPr>
        <w:pStyle w:val="FirstParagraph"/>
      </w:pPr>
      <w:r>
        <w:t xml:space="preserve">Ridgeline Office Supply Co. shall provide monthly office supply</w:t>
      </w:r>
      <w:r>
        <w:t xml:space="preserve"> </w:t>
      </w:r>
      <w:r>
        <w:t xml:space="preserve">replenishment (stationery, printer consumables, breakroom supplies) for the</w:t>
      </w:r>
      <w:r>
        <w:t xml:space="preserve"> </w:t>
      </w:r>
      <w:r>
        <w:t xml:space="preserve">Company’s headquarters location, as detailed in Exhibit A.</w:t>
      </w:r>
    </w:p>
    <w:bookmarkEnd w:id="20"/>
    <w:bookmarkStart w:id="21" w:name="payment-terms"/>
    <w:p>
      <w:pPr>
        <w:pStyle w:val="Heading2"/>
      </w:pPr>
      <w:r>
        <w:t xml:space="preserve">2. Payment Terms</w:t>
      </w:r>
    </w:p>
    <w:p>
      <w:pPr>
        <w:pStyle w:val="FirstParagraph"/>
      </w:pPr>
      <w:r>
        <w:t xml:space="preserve">Payment shall be made monthly in arrears, Net 30 from invoice date. Monthly</w:t>
      </w:r>
      <w:r>
        <w:t xml:space="preserve"> </w:t>
      </w:r>
      <w:r>
        <w:t xml:space="preserve">order cap: $2,850. No advance payment required or requested.</w:t>
      </w:r>
    </w:p>
    <w:bookmarkEnd w:id="21"/>
    <w:bookmarkStart w:id="22" w:name="deliverables"/>
    <w:p>
      <w:pPr>
        <w:pStyle w:val="Heading2"/>
      </w:pPr>
      <w:r>
        <w:t xml:space="preserve">3. Deliverables</w:t>
      </w:r>
    </w:p>
    <w:p>
      <w:pPr>
        <w:numPr>
          <w:ilvl w:val="0"/>
          <w:numId w:val="1001"/>
        </w:numPr>
        <w:pStyle w:val="Compact"/>
      </w:pPr>
      <w:r>
        <w:t xml:space="preserve">Monthly delivery confirmation and itemized packing list</w:t>
      </w:r>
    </w:p>
    <w:p>
      <w:pPr>
        <w:numPr>
          <w:ilvl w:val="0"/>
          <w:numId w:val="1001"/>
        </w:numPr>
        <w:pStyle w:val="Compact"/>
      </w:pPr>
      <w:r>
        <w:t xml:space="preserve">Quarterly usage summary report</w:t>
      </w:r>
    </w:p>
    <w:bookmarkEnd w:id="22"/>
    <w:bookmarkStart w:id="23" w:name="termination"/>
    <w:p>
      <w:pPr>
        <w:pStyle w:val="Heading2"/>
      </w:pPr>
      <w:r>
        <w:t xml:space="preserve">4. Termination</w:t>
      </w:r>
    </w:p>
    <w:p>
      <w:pPr>
        <w:pStyle w:val="FirstParagraph"/>
      </w:pPr>
      <w:r>
        <w:t xml:space="preserve">Either party may terminate for convenience with 30 days written notice.</w:t>
      </w:r>
      <w:r>
        <w:t xml:space="preserve"> </w:t>
      </w:r>
      <w:r>
        <w:t xml:space="preserve">Either party may terminate for cause with 15 days written notice and an</w:t>
      </w:r>
      <w:r>
        <w:t xml:space="preserve"> </w:t>
      </w:r>
      <w:r>
        <w:t xml:space="preserve">opportunity to cure.</w:t>
      </w:r>
    </w:p>
    <w:bookmarkEnd w:id="23"/>
    <w:bookmarkStart w:id="24" w:name="data-privacy-and-confidentiality"/>
    <w:p>
      <w:pPr>
        <w:pStyle w:val="Heading2"/>
      </w:pPr>
      <w:r>
        <w:t xml:space="preserve">5. Data Privacy and Confidentiality</w:t>
      </w:r>
    </w:p>
    <w:p>
      <w:pPr>
        <w:pStyle w:val="FirstParagraph"/>
      </w:pPr>
      <w:r>
        <w:t xml:space="preserve">This engagement does not involve access to Company data systems, customer</w:t>
      </w:r>
      <w:r>
        <w:t xml:space="preserve"> </w:t>
      </w:r>
      <w:r>
        <w:t xml:space="preserve">data, or employee data. Standard mutual confidentiality obligations</w:t>
      </w:r>
      <w:r>
        <w:t xml:space="preserve"> </w:t>
      </w:r>
      <w:r>
        <w:t xml:space="preserve">regarding business terms of this agreement apply for 3 years following</w:t>
      </w:r>
      <w:r>
        <w:t xml:space="preserve"> </w:t>
      </w:r>
      <w:r>
        <w:t xml:space="preserve">termination, per the Company’s standard Confidentiality Policy.</w:t>
      </w:r>
    </w:p>
    <w:bookmarkEnd w:id="24"/>
    <w:bookmarkStart w:id="25" w:name="liability-and-indemnification"/>
    <w:p>
      <w:pPr>
        <w:pStyle w:val="Heading2"/>
      </w:pPr>
      <w:r>
        <w:t xml:space="preserve">6. Liability and Indemnification</w:t>
      </w:r>
    </w:p>
    <w:p>
      <w:pPr>
        <w:pStyle w:val="FirstParagraph"/>
      </w:pPr>
      <w:r>
        <w:t xml:space="preserve">Ridgeline shall indemnify the Company against claims arising from its</w:t>
      </w:r>
      <w:r>
        <w:t xml:space="preserve"> </w:t>
      </w:r>
      <w:r>
        <w:t xml:space="preserve">negligence in fulfilling orders, capped at total contract value.</w:t>
      </w:r>
    </w:p>
    <w:bookmarkEnd w:id="25"/>
    <w:bookmarkStart w:id="26" w:name="governing-law"/>
    <w:p>
      <w:pPr>
        <w:pStyle w:val="Heading2"/>
      </w:pPr>
      <w:r>
        <w:t xml:space="preserve">7. Governing Law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</w:t>
      </w:r>
    </w:p>
    <w:bookmarkEnd w:id="26"/>
    <w:bookmarkStart w:id="27" w:name="submitted-for-approval"/>
    <w:p>
      <w:pPr>
        <w:pStyle w:val="Heading2"/>
      </w:pPr>
      <w:r>
        <w:t xml:space="preserve">Submitted For Approval</w:t>
      </w:r>
    </w:p>
    <w:p>
      <w:pPr>
        <w:pStyle w:val="FirstParagraph"/>
      </w:pPr>
      <w:r>
        <w:t xml:space="preserve">Submitted by: F. Osei, Department Manager</w:t>
      </w:r>
      <w:r>
        <w:t xml:space="preserve"> </w:t>
      </w:r>
      <w:r>
        <w:t xml:space="preserve">Date: 2026-08-15</w:t>
      </w:r>
      <w:r>
        <w:t xml:space="preserve"> </w:t>
      </w:r>
      <w:r>
        <w:t xml:space="preserve">Status: Pending Review — not yet executed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2026-07-27T07:30:54Z</dcterms:created>
  <dcterms:modified xsi:type="dcterms:W3CDTF">2026-07-27T07:30:54Z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