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t xml:space="preserve">Invoice ID: INV-2026-3311</w:t>
      </w:r>
      <w:r>
        <w:t xml:space="preserve"> </w:t>
      </w:r>
      <w:r>
        <w:t xml:space="preserve">Contract ID: CTR-2026-0088</w:t>
      </w:r>
      <w:r>
        <w:t xml:space="preserve"> </w:t>
      </w:r>
      <w:r>
        <w:t xml:space="preserve">Supplier: Acme Logistics Inc.</w:t>
      </w:r>
      <w:r>
        <w:t xml:space="preserve"> </w:t>
      </w:r>
      <w:r>
        <w:t xml:space="preserve">Tax ID: 94-3021177</w:t>
      </w:r>
      <w:r>
        <w:t xml:space="preserve"> </w:t>
      </w:r>
      <w:r>
        <w:t xml:space="preserve">Invoice Date: 2026-03-05</w:t>
      </w:r>
      <w:r>
        <w:t xml:space="preserve"> </w:t>
      </w:r>
      <w:r>
        <w:t xml:space="preserve">Due Date: 2026-04-04 (Net 30)</w:t>
      </w:r>
    </w:p>
    <w:bookmarkStart w:id="20" w:name="billing-details"/>
    <w:p>
      <w:pPr>
        <w:pStyle w:val="Heading2"/>
      </w:pPr>
      <w:r>
        <w:t xml:space="preserve">Billing Details</w:t>
      </w:r>
    </w:p>
    <w:p>
      <w:pPr>
        <w:pStyle w:val="FirstParagraph"/>
      </w:pPr>
      <w:r>
        <w:t xml:space="preserve">Service Period: February 2026</w:t>
      </w:r>
      <w:r>
        <w:t xml:space="preserve"> </w:t>
      </w:r>
      <w:r>
        <w:t xml:space="preserve">Base Monthly Service Fee (per contract): $15,416.67</w:t>
      </w:r>
      <w:r>
        <w:t xml:space="preserve"> </w:t>
      </w:r>
      <w:r>
        <w:t xml:space="preserve">Additional Charges: $2,730.00 (unplanned surge-capacity storage, Feb 18-24)</w:t>
      </w:r>
    </w:p>
    <w:p>
      <w:pPr>
        <w:pStyle w:val="BodyText"/>
      </w:pPr>
      <w:r>
        <w:rPr>
          <w:bCs/>
          <w:b/>
        </w:rPr>
        <w:t xml:space="preserve">Total Invoiced Amount: $18,146.67</w:t>
      </w:r>
    </w:p>
    <w:bookmarkEnd w:id="20"/>
    <w:bookmarkStart w:id="21" w:name="deliverables-referenced"/>
    <w:p>
      <w:pPr>
        <w:pStyle w:val="Heading2"/>
      </w:pPr>
      <w:r>
        <w:t xml:space="preserve">Deliverables Referenced</w:t>
      </w:r>
    </w:p>
    <w:p>
      <w:pPr>
        <w:numPr>
          <w:ilvl w:val="0"/>
          <w:numId w:val="1001"/>
        </w:numPr>
        <w:pStyle w:val="Compact"/>
      </w:pPr>
      <w:r>
        <w:t xml:space="preserve">Weekly inventory accuracy report (Feb 1-28) — attached</w:t>
      </w:r>
    </w:p>
    <w:p>
      <w:pPr>
        <w:numPr>
          <w:ilvl w:val="0"/>
          <w:numId w:val="1001"/>
        </w:numPr>
        <w:pStyle w:val="Compact"/>
      </w:pPr>
      <w:r>
        <w:t xml:space="preserve">On-time delivery rate: 96.4%</w:t>
      </w:r>
    </w:p>
    <w:bookmarkEnd w:id="21"/>
    <w:bookmarkStart w:id="22" w:name="notes-from-supplier"/>
    <w:p>
      <w:pPr>
        <w:pStyle w:val="Heading2"/>
      </w:pPr>
      <w:r>
        <w:t xml:space="preserve">Notes from Supplier</w:t>
      </w:r>
    </w:p>
    <w:p>
      <w:pPr>
        <w:pStyle w:val="FirstParagraph"/>
      </w:pPr>
      <w:r>
        <w:t xml:space="preserve">Additional surge-capacity storage charge reflects unplanned inventory</w:t>
      </w:r>
      <w:r>
        <w:t xml:space="preserve"> </w:t>
      </w:r>
      <w:r>
        <w:t xml:space="preserve">overflow during a Company-requested promotional event. Not pre-approved in</w:t>
      </w:r>
      <w:r>
        <w:t xml:space="preserve"> </w:t>
      </w:r>
      <w:r>
        <w:t xml:space="preserve">writing prior to service.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Reviewer note: Invoiced amount of $18,146.67 vs. contracted monthly fee of</w:t>
      </w:r>
      <w:r>
        <w:rPr>
          <w:iCs/>
          <w:i/>
        </w:rPr>
        <w:t xml:space="preserve"> </w:t>
      </w:r>
      <w:r>
        <w:rPr>
          <w:iCs/>
          <w:i/>
        </w:rPr>
        <w:t xml:space="preserve">$15,416.67 represents a variance of approximately 17.7% for this billing</w:t>
      </w:r>
      <w:r>
        <w:rPr>
          <w:iCs/>
          <w:i/>
        </w:rPr>
        <w:t xml:space="preserve"> </w:t>
      </w:r>
      <w:r>
        <w:rPr>
          <w:iCs/>
          <w:i/>
        </w:rPr>
        <w:t xml:space="preserve">period, and the additional charge is not listed in the contract’s Scope of</w:t>
      </w:r>
      <w:r>
        <w:rPr>
          <w:iCs/>
          <w:i/>
        </w:rPr>
        <w:t xml:space="preserve"> </w:t>
      </w:r>
      <w:r>
        <w:rPr>
          <w:iCs/>
          <w:i/>
        </w:rPr>
        <w:t xml:space="preserve">Work (Section 1) or Deliverables (Section 3). This should be flagged for</w:t>
      </w:r>
      <w:r>
        <w:rPr>
          <w:iCs/>
          <w:i/>
        </w:rPr>
        <w:t xml:space="preserve"> </w:t>
      </w:r>
      <w:r>
        <w:rPr>
          <w:iCs/>
          <w:i/>
        </w:rPr>
        <w:t xml:space="preserve">review under Invoice Validation SOP-IV-011, Step 2.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2026-07-25T21:06:32Z</dcterms:created>
  <dcterms:modified xsi:type="dcterms:W3CDTF">2026-07-25T21:06:32Z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