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master-services-agreement"/>
    <w:p>
      <w:pPr>
        <w:pStyle w:val="Heading1"/>
      </w:pPr>
      <w:r>
        <w:t xml:space="preserve">Master Services Agreement</w:t>
      </w:r>
    </w:p>
    <w:p>
      <w:pPr>
        <w:pStyle w:val="FirstParagraph"/>
      </w:pPr>
      <w:r>
        <w:t xml:space="preserve">Contract ID: CTR-2026-0055</w:t>
      </w:r>
      <w:r>
        <w:t xml:space="preserve"> </w:t>
      </w:r>
      <w:r>
        <w:t xml:space="preserve">Supplier: Vantage Point Consulting Group LLC</w:t>
      </w:r>
      <w:r>
        <w:t xml:space="preserve"> </w:t>
      </w:r>
      <w:r>
        <w:t xml:space="preserve">Tax ID: 45-8812093</w:t>
      </w:r>
      <w:r>
        <w:t xml:space="preserve"> </w:t>
      </w:r>
      <w:r>
        <w:t xml:space="preserve">Contract Owner: P. Dubois, VP of Procurement</w:t>
      </w:r>
      <w:r>
        <w:t xml:space="preserve"> </w:t>
      </w:r>
      <w:r>
        <w:t xml:space="preserve">Total Contract Value: $875,000 USD</w:t>
      </w:r>
      <w:r>
        <w:t xml:space="preserve"> </w:t>
      </w:r>
      <w:r>
        <w:t xml:space="preserve">Contract Validity Period: 2026-01-15 to 2029-01-14</w:t>
      </w:r>
      <w:r>
        <w:t xml:space="preserve"> </w:t>
      </w:r>
      <w:r>
        <w:t xml:space="preserve">Vendor Risk Tier: Tier 1 — Critical (per POL-VRM-005)</w:t>
      </w:r>
    </w:p>
    <w:bookmarkStart w:id="20" w:name="scope-of-work"/>
    <w:p>
      <w:pPr>
        <w:pStyle w:val="Heading2"/>
      </w:pPr>
      <w:r>
        <w:t xml:space="preserve">1. Scope of Work</w:t>
      </w:r>
    </w:p>
    <w:p>
      <w:pPr>
        <w:pStyle w:val="FirstParagraph"/>
      </w:pPr>
      <w:r>
        <w:t xml:space="preserve">Vantage Point Consulting Group LLC (</w:t>
      </w:r>
      <w:r>
        <w:t xml:space="preserve">“</w:t>
      </w:r>
      <w:r>
        <w:t xml:space="preserve">Vendor</w:t>
      </w:r>
      <w:r>
        <w:t xml:space="preserve">”</w:t>
      </w:r>
      <w:r>
        <w:t xml:space="preserve">) shall provide enterprise</w:t>
      </w:r>
      <w:r>
        <w:t xml:space="preserve"> </w:t>
      </w:r>
      <w:r>
        <w:t xml:space="preserve">digital transformation advisory services, including business process</w:t>
      </w:r>
      <w:r>
        <w:t xml:space="preserve"> </w:t>
      </w:r>
      <w:r>
        <w:t xml:space="preserve">reengineering, technology roadmap development, change management support,</w:t>
      </w:r>
      <w:r>
        <w:t xml:space="preserve"> </w:t>
      </w:r>
      <w:r>
        <w:t xml:space="preserve">and program governance for the Company’s Finance and Operations</w:t>
      </w:r>
      <w:r>
        <w:t xml:space="preserve"> </w:t>
      </w:r>
      <w:r>
        <w:t xml:space="preserve">modernization initiative, as further detailed in Exhibits A through D.</w:t>
      </w:r>
      <w:r>
        <w:t xml:space="preserve"> </w:t>
      </w:r>
      <w:r>
        <w:t xml:space="preserve">Services shall be delivered across three phases: Discovery (Months 1-3),</w:t>
      </w:r>
      <w:r>
        <w:t xml:space="preserve"> </w:t>
      </w:r>
      <w:r>
        <w:t xml:space="preserve">Design (Months 4-9), and Implementation Support (Months 10-24).</w:t>
      </w:r>
    </w:p>
    <w:bookmarkEnd w:id="20"/>
    <w:bookmarkStart w:id="21" w:name="term-and-renewal"/>
    <w:p>
      <w:pPr>
        <w:pStyle w:val="Heading2"/>
      </w:pPr>
      <w:r>
        <w:t xml:space="preserve">2. Term and Renewal</w:t>
      </w:r>
    </w:p>
    <w:p>
      <w:pPr>
        <w:pStyle w:val="FirstParagraph"/>
      </w:pPr>
      <w:r>
        <w:t xml:space="preserve">This Agreement commences on the Effective Date and continues for 36 months</w:t>
      </w:r>
      <w:r>
        <w:t xml:space="preserve"> </w:t>
      </w:r>
      <w:r>
        <w:t xml:space="preserve">unless terminated earlier per Section 9. The Agreement may be renewed for</w:t>
      </w:r>
      <w:r>
        <w:t xml:space="preserve"> </w:t>
      </w:r>
      <w:r>
        <w:t xml:space="preserve">successive 12-month terms upon mutual written agreement, subject to the</w:t>
      </w:r>
      <w:r>
        <w:t xml:space="preserve"> </w:t>
      </w:r>
      <w:r>
        <w:t xml:space="preserve">renewal review requirements of SOP-CR-012, including reconfirmation of</w:t>
      </w:r>
      <w:r>
        <w:t xml:space="preserve"> </w:t>
      </w:r>
      <w:r>
        <w:t xml:space="preserve">Vendor’s risk tier status and reapplication of then-current Procurement</w:t>
      </w:r>
      <w:r>
        <w:t xml:space="preserve"> </w:t>
      </w:r>
      <w:r>
        <w:t xml:space="preserve">Policy approval thresholds.</w:t>
      </w:r>
    </w:p>
    <w:bookmarkEnd w:id="21"/>
    <w:bookmarkStart w:id="25" w:name="payment-terms"/>
    <w:p>
      <w:pPr>
        <w:pStyle w:val="Heading2"/>
      </w:pPr>
      <w:r>
        <w:t xml:space="preserve">3. Payment Terms</w:t>
      </w:r>
    </w:p>
    <w:bookmarkStart w:id="22" w:name="fee-structure"/>
    <w:p>
      <w:pPr>
        <w:pStyle w:val="Heading3"/>
      </w:pPr>
      <w:r>
        <w:t xml:space="preserve">3.1 Fee Structure</w:t>
      </w:r>
    </w:p>
    <w:p>
      <w:pPr>
        <w:pStyle w:val="FirstParagraph"/>
      </w:pPr>
      <w:r>
        <w:t xml:space="preserve">Total not-to-exceed contract value is $875,000, allocated as follows:</w:t>
      </w:r>
      <w:r>
        <w:t xml:space="preserve"> </w:t>
      </w:r>
      <w:r>
        <w:t xml:space="preserve">- Discovery Phase: $150,000, invoiced in two equal installments upon</w:t>
      </w:r>
      <w:r>
        <w:t xml:space="preserve"> </w:t>
      </w:r>
      <w:r>
        <w:t xml:space="preserve">kickoff and phase completion</w:t>
      </w:r>
      <w:r>
        <w:t xml:space="preserve"> </w:t>
      </w:r>
      <w:r>
        <w:t xml:space="preserve">- Design Phase: $350,000, invoiced monthly at $58,333.33 based on</w:t>
      </w:r>
      <w:r>
        <w:t xml:space="preserve"> </w:t>
      </w:r>
      <w:r>
        <w:t xml:space="preserve">percentage-of-completion against the agreed project plan</w:t>
      </w:r>
      <w:r>
        <w:t xml:space="preserve"> </w:t>
      </w:r>
      <w:r>
        <w:t xml:space="preserve">- Implementation Support Phase: $375,000, invoiced monthly at $26,785.71</w:t>
      </w:r>
      <w:r>
        <w:t xml:space="preserve"> </w:t>
      </w:r>
      <w:r>
        <w:t xml:space="preserve">over 14 months</w:t>
      </w:r>
    </w:p>
    <w:bookmarkEnd w:id="22"/>
    <w:bookmarkStart w:id="23" w:name="payment-schedule"/>
    <w:p>
      <w:pPr>
        <w:pStyle w:val="Heading3"/>
      </w:pPr>
      <w:r>
        <w:t xml:space="preserve">3.2 Payment Schedule</w:t>
      </w:r>
    </w:p>
    <w:p>
      <w:pPr>
        <w:pStyle w:val="FirstParagraph"/>
      </w:pPr>
      <w:r>
        <w:t xml:space="preserve">All invoices are due Net 30 from receipt. No advance payment is authorized</w:t>
      </w:r>
      <w:r>
        <w:t xml:space="preserve"> </w:t>
      </w:r>
      <w:r>
        <w:t xml:space="preserve">under this Agreement. Invoices must include time and expense detail</w:t>
      </w:r>
      <w:r>
        <w:t xml:space="preserve"> </w:t>
      </w:r>
      <w:r>
        <w:t xml:space="preserve">sufficient for Company’s Finance team to reconcile against the phase</w:t>
      </w:r>
      <w:r>
        <w:t xml:space="preserve"> </w:t>
      </w:r>
      <w:r>
        <w:t xml:space="preserve">budget above.</w:t>
      </w:r>
    </w:p>
    <w:bookmarkEnd w:id="23"/>
    <w:bookmarkStart w:id="24" w:name="expense-reimbursement"/>
    <w:p>
      <w:pPr>
        <w:pStyle w:val="Heading3"/>
      </w:pPr>
      <w:r>
        <w:t xml:space="preserve">3.3 Expense Reimbursement</w:t>
      </w:r>
    </w:p>
    <w:p>
      <w:pPr>
        <w:pStyle w:val="FirstParagraph"/>
      </w:pPr>
      <w:r>
        <w:t xml:space="preserve">Pre-approved travel and out-of-pocket expenses shall be reimbursed at cost,</w:t>
      </w:r>
      <w:r>
        <w:t xml:space="preserve"> </w:t>
      </w:r>
      <w:r>
        <w:t xml:space="preserve">capped at 8% of the applicable phase fee, and must be submitted with</w:t>
      </w:r>
      <w:r>
        <w:t xml:space="preserve"> </w:t>
      </w:r>
      <w:r>
        <w:t xml:space="preserve">receipts within 60 days of being incurred.</w:t>
      </w:r>
    </w:p>
    <w:bookmarkEnd w:id="24"/>
    <w:bookmarkEnd w:id="25"/>
    <w:bookmarkStart w:id="26" w:name="deliverables"/>
    <w:p>
      <w:pPr>
        <w:pStyle w:val="Heading2"/>
      </w:pPr>
      <w:r>
        <w:t xml:space="preserve">4. Deliverables</w:t>
      </w:r>
    </w:p>
    <w:p>
      <w:pPr>
        <w:numPr>
          <w:ilvl w:val="0"/>
          <w:numId w:val="1001"/>
        </w:numPr>
        <w:pStyle w:val="Compact"/>
      </w:pPr>
      <w:r>
        <w:t xml:space="preserve">Current-state assessment report (end of Discovery)</w:t>
      </w:r>
    </w:p>
    <w:p>
      <w:pPr>
        <w:numPr>
          <w:ilvl w:val="0"/>
          <w:numId w:val="1001"/>
        </w:numPr>
        <w:pStyle w:val="Compact"/>
      </w:pPr>
      <w:r>
        <w:t xml:space="preserve">Future-state process design documentation (end of Design)</w:t>
      </w:r>
    </w:p>
    <w:p>
      <w:pPr>
        <w:numPr>
          <w:ilvl w:val="0"/>
          <w:numId w:val="1001"/>
        </w:numPr>
        <w:pStyle w:val="Compact"/>
      </w:pPr>
      <w:r>
        <w:t xml:space="preserve">Technology roadmap and implementation plan (end of Design)</w:t>
      </w:r>
    </w:p>
    <w:p>
      <w:pPr>
        <w:numPr>
          <w:ilvl w:val="0"/>
          <w:numId w:val="1001"/>
        </w:numPr>
        <w:pStyle w:val="Compact"/>
      </w:pPr>
      <w:r>
        <w:t xml:space="preserve">Monthly implementation status reports (Implementation Support phase)</w:t>
      </w:r>
    </w:p>
    <w:p>
      <w:pPr>
        <w:numPr>
          <w:ilvl w:val="0"/>
          <w:numId w:val="1001"/>
        </w:numPr>
        <w:pStyle w:val="Compact"/>
      </w:pPr>
      <w:r>
        <w:t xml:space="preserve">Change management training materials and delivery</w:t>
      </w:r>
    </w:p>
    <w:p>
      <w:pPr>
        <w:numPr>
          <w:ilvl w:val="0"/>
          <w:numId w:val="1001"/>
        </w:numPr>
        <w:pStyle w:val="Compact"/>
      </w:pPr>
      <w:r>
        <w:t xml:space="preserve">Final program closeout report</w:t>
      </w:r>
    </w:p>
    <w:bookmarkEnd w:id="26"/>
    <w:bookmarkStart w:id="27" w:name="key-personnel"/>
    <w:p>
      <w:pPr>
        <w:pStyle w:val="Heading2"/>
      </w:pPr>
      <w:r>
        <w:t xml:space="preserve">5. Key Personnel</w:t>
      </w:r>
    </w:p>
    <w:p>
      <w:pPr>
        <w:pStyle w:val="FirstParagraph"/>
      </w:pPr>
      <w:r>
        <w:t xml:space="preserve">Vendor shall assign a named Engagement Lead and Program Manager for the</w:t>
      </w:r>
      <w:r>
        <w:t xml:space="preserve"> </w:t>
      </w:r>
      <w:r>
        <w:t xml:space="preserve">duration of the engagement. Substitution of either role requires Company’s</w:t>
      </w:r>
      <w:r>
        <w:t xml:space="preserve"> </w:t>
      </w:r>
      <w:r>
        <w:t xml:space="preserve">prior written consent, not to be unreasonably withheld, and Vendor must</w:t>
      </w:r>
      <w:r>
        <w:t xml:space="preserve"> </w:t>
      </w:r>
      <w:r>
        <w:t xml:space="preserve">provide a minimum 2-week transition/knowledge-transfer period for any</w:t>
      </w:r>
      <w:r>
        <w:t xml:space="preserve"> </w:t>
      </w:r>
      <w:r>
        <w:t xml:space="preserve">approved substitution.</w:t>
      </w:r>
    </w:p>
    <w:bookmarkEnd w:id="27"/>
    <w:bookmarkStart w:id="28" w:name="vendor-risk-and-security-requirements"/>
    <w:p>
      <w:pPr>
        <w:pStyle w:val="Heading2"/>
      </w:pPr>
      <w:r>
        <w:t xml:space="preserve">6. Vendor Risk and Security Requirements</w:t>
      </w:r>
    </w:p>
    <w:p>
      <w:pPr>
        <w:pStyle w:val="FirstParagraph"/>
      </w:pPr>
      <w:r>
        <w:t xml:space="preserve">As a Tier 1 vendor under the Vendor Risk Management Policy (POL-VRM-005),</w:t>
      </w:r>
      <w:r>
        <w:t xml:space="preserve"> </w:t>
      </w:r>
      <w:r>
        <w:t xml:space="preserve">Vendor shall:</w:t>
      </w:r>
      <w:r>
        <w:t xml:space="preserve"> </w:t>
      </w:r>
      <w:r>
        <w:t xml:space="preserve">1. Maintain a current SOC 2 Type II report, provided to the Company</w:t>
      </w:r>
      <w:r>
        <w:t xml:space="preserve"> </w:t>
      </w:r>
      <w:r>
        <w:t xml:space="preserve">annually and upon request</w:t>
      </w:r>
      <w:r>
        <w:t xml:space="preserve"> </w:t>
      </w:r>
      <w:r>
        <w:t xml:space="preserve">2. Participate in an annual security audit conducted by or on behalf of</w:t>
      </w:r>
      <w:r>
        <w:t xml:space="preserve"> </w:t>
      </w:r>
      <w:r>
        <w:t xml:space="preserve">the Company</w:t>
      </w:r>
      <w:r>
        <w:t xml:space="preserve"> </w:t>
      </w:r>
      <w:r>
        <w:t xml:space="preserve">3. Maintain a documented business continuity and disaster recovery plan,</w:t>
      </w:r>
      <w:r>
        <w:t xml:space="preserve"> </w:t>
      </w:r>
      <w:r>
        <w:t xml:space="preserve">reviewed with the Company annually</w:t>
      </w:r>
      <w:r>
        <w:t xml:space="preserve"> </w:t>
      </w:r>
      <w:r>
        <w:t xml:space="preserve">4. Notify the Company of any actual or suspected security incident</w:t>
      </w:r>
      <w:r>
        <w:t xml:space="preserve"> </w:t>
      </w:r>
      <w:r>
        <w:t xml:space="preserve">affecting Company data within 24 hours of discovery — a shorter window</w:t>
      </w:r>
      <w:r>
        <w:t xml:space="preserve"> </w:t>
      </w:r>
      <w:r>
        <w:t xml:space="preserve">than the standard 72-hour requirement in POL-SEC-002, reflecting this</w:t>
      </w:r>
      <w:r>
        <w:t xml:space="preserve"> </w:t>
      </w:r>
      <w:r>
        <w:t xml:space="preserve">engagement’s elevated risk tier</w:t>
      </w:r>
      <w:r>
        <w:t xml:space="preserve"> </w:t>
      </w:r>
      <w:r>
        <w:t xml:space="preserve">5. Disclose all subcontractors granted access to Company data prior to</w:t>
      </w:r>
      <w:r>
        <w:t xml:space="preserve"> </w:t>
      </w:r>
      <w:r>
        <w:t xml:space="preserve">granting such access, per POL-VRM-005 Section 5</w:t>
      </w:r>
    </w:p>
    <w:bookmarkEnd w:id="28"/>
    <w:bookmarkStart w:id="34" w:name="data-privacy-and-confidentiality"/>
    <w:p>
      <w:pPr>
        <w:pStyle w:val="Heading2"/>
      </w:pPr>
      <w:r>
        <w:t xml:space="preserve">7. Data Privacy and Confidentiality</w:t>
      </w:r>
    </w:p>
    <w:bookmarkStart w:id="29" w:name="data-handling"/>
    <w:p>
      <w:pPr>
        <w:pStyle w:val="Heading3"/>
      </w:pPr>
      <w:r>
        <w:t xml:space="preserve">7.1 Data Handling</w:t>
      </w:r>
    </w:p>
    <w:p>
      <w:pPr>
        <w:pStyle w:val="FirstParagraph"/>
      </w:pPr>
      <w:r>
        <w:t xml:space="preserve">Vendor shall access Company data solely to perform the Services and shall</w:t>
      </w:r>
      <w:r>
        <w:t xml:space="preserve"> </w:t>
      </w:r>
      <w:r>
        <w:t xml:space="preserve">not use, disclose, or retain such data for any other purpose. Data shall be</w:t>
      </w:r>
      <w:r>
        <w:t xml:space="preserve"> </w:t>
      </w:r>
      <w:r>
        <w:t xml:space="preserve">classified per the Company’s data classification scheme, and Vendor shall</w:t>
      </w:r>
      <w:r>
        <w:t xml:space="preserve"> </w:t>
      </w:r>
      <w:r>
        <w:t xml:space="preserve">apply security controls appropriate to the highest classification level of</w:t>
      </w:r>
      <w:r>
        <w:t xml:space="preserve"> </w:t>
      </w:r>
      <w:r>
        <w:t xml:space="preserve">data accessed.</w:t>
      </w:r>
    </w:p>
    <w:bookmarkEnd w:id="29"/>
    <w:bookmarkStart w:id="30" w:name="retention-and-destruction"/>
    <w:p>
      <w:pPr>
        <w:pStyle w:val="Heading3"/>
      </w:pPr>
      <w:r>
        <w:t xml:space="preserve">7.2 Retention and Destruction</w:t>
      </w:r>
    </w:p>
    <w:p>
      <w:pPr>
        <w:pStyle w:val="FirstParagraph"/>
      </w:pPr>
      <w:r>
        <w:t xml:space="preserve">Upon completion of each phase, Vendor shall purge working data no longer</w:t>
      </w:r>
      <w:r>
        <w:t xml:space="preserve"> </w:t>
      </w:r>
      <w:r>
        <w:t xml:space="preserve">required for the current phase. Upon termination or expiration of this</w:t>
      </w:r>
      <w:r>
        <w:t xml:space="preserve"> </w:t>
      </w:r>
      <w:r>
        <w:t xml:space="preserve">Agreement, Vendor shall return or certify destruction of all Company data</w:t>
      </w:r>
      <w:r>
        <w:t xml:space="preserve"> </w:t>
      </w:r>
      <w:r>
        <w:t xml:space="preserve">within 30 days, consistent with POL-VRM-005 Section 7.</w:t>
      </w:r>
    </w:p>
    <w:bookmarkEnd w:id="30"/>
    <w:bookmarkStart w:id="31" w:name="breach-notification"/>
    <w:p>
      <w:pPr>
        <w:pStyle w:val="Heading3"/>
      </w:pPr>
      <w:r>
        <w:t xml:space="preserve">7.3 Breach Notification</w:t>
      </w:r>
    </w:p>
    <w:p>
      <w:pPr>
        <w:pStyle w:val="FirstParagraph"/>
      </w:pPr>
      <w:r>
        <w:t xml:space="preserve">Vendor shall notify the Company within 24 hours of discovering any breach</w:t>
      </w:r>
      <w:r>
        <w:t xml:space="preserve"> </w:t>
      </w:r>
      <w:r>
        <w:t xml:space="preserve">or suspected breach involving Company data, and shall cooperate fully with</w:t>
      </w:r>
      <w:r>
        <w:t xml:space="preserve"> </w:t>
      </w:r>
      <w:r>
        <w:t xml:space="preserve">the Company’s incident response process, including providing all relevant</w:t>
      </w:r>
      <w:r>
        <w:t xml:space="preserve"> </w:t>
      </w:r>
      <w:r>
        <w:t xml:space="preserve">logs and forensic information upon request.</w:t>
      </w:r>
    </w:p>
    <w:bookmarkEnd w:id="31"/>
    <w:bookmarkStart w:id="32" w:name="regulatory-compliance"/>
    <w:p>
      <w:pPr>
        <w:pStyle w:val="Heading3"/>
      </w:pPr>
      <w:r>
        <w:t xml:space="preserve">7.4 Regulatory Compliance</w:t>
      </w:r>
    </w:p>
    <w:p>
      <w:pPr>
        <w:pStyle w:val="FirstParagraph"/>
      </w:pPr>
      <w:r>
        <w:t xml:space="preserve">Vendor shall comply with all applicable data protection regulations</w:t>
      </w:r>
      <w:r>
        <w:t xml:space="preserve"> </w:t>
      </w:r>
      <w:r>
        <w:t xml:space="preserve">including GDPR and CCPA where the underlying data subjects fall within</w:t>
      </w:r>
      <w:r>
        <w:t xml:space="preserve"> </w:t>
      </w:r>
      <w:r>
        <w:t xml:space="preserve">those regulations’ scope, and shall support the Company’s response to any</w:t>
      </w:r>
      <w:r>
        <w:t xml:space="preserve"> </w:t>
      </w:r>
      <w:r>
        <w:t xml:space="preserve">data subject access requests within 5 business days of request.</w:t>
      </w:r>
    </w:p>
    <w:bookmarkEnd w:id="32"/>
    <w:bookmarkStart w:id="33" w:name="audit-rights"/>
    <w:p>
      <w:pPr>
        <w:pStyle w:val="Heading3"/>
      </w:pPr>
      <w:r>
        <w:t xml:space="preserve">7.5 Audit Rights</w:t>
      </w:r>
    </w:p>
    <w:p>
      <w:pPr>
        <w:pStyle w:val="FirstParagraph"/>
      </w:pPr>
      <w:r>
        <w:t xml:space="preserve">The Company, or its designated third-party auditor, may audit Vendor’s data</w:t>
      </w:r>
      <w:r>
        <w:t xml:space="preserve"> </w:t>
      </w:r>
      <w:r>
        <w:t xml:space="preserve">handling and security practices no more than twice per 12-month period upon</w:t>
      </w:r>
      <w:r>
        <w:t xml:space="preserve"> </w:t>
      </w:r>
      <w:r>
        <w:t xml:space="preserve">15 days written notice, or immediately following a security incident.</w:t>
      </w:r>
    </w:p>
    <w:bookmarkEnd w:id="33"/>
    <w:bookmarkEnd w:id="34"/>
    <w:bookmarkStart w:id="35" w:name="confidentiality"/>
    <w:p>
      <w:pPr>
        <w:pStyle w:val="Heading2"/>
      </w:pPr>
      <w:r>
        <w:t xml:space="preserve">8. Confidentiality</w:t>
      </w:r>
    </w:p>
    <w:p>
      <w:pPr>
        <w:pStyle w:val="FirstParagraph"/>
      </w:pPr>
      <w:r>
        <w:t xml:space="preserve">Both parties shall keep confidential all non-public information disclosed</w:t>
      </w:r>
      <w:r>
        <w:t xml:space="preserve"> </w:t>
      </w:r>
      <w:r>
        <w:t xml:space="preserve">under this Agreement, consistent with the Confidentiality Policy</w:t>
      </w:r>
      <w:r>
        <w:t xml:space="preserve"> </w:t>
      </w:r>
      <w:r>
        <w:t xml:space="preserve">(POL-CONF-004), for a period of 3 years following termination or</w:t>
      </w:r>
      <w:r>
        <w:t xml:space="preserve"> </w:t>
      </w:r>
      <w:r>
        <w:t xml:space="preserve">expiration of this Agreement.</w:t>
      </w:r>
    </w:p>
    <w:bookmarkEnd w:id="35"/>
    <w:bookmarkStart w:id="39" w:name="termination"/>
    <w:p>
      <w:pPr>
        <w:pStyle w:val="Heading2"/>
      </w:pPr>
      <w:r>
        <w:t xml:space="preserve">9. Termination</w:t>
      </w:r>
    </w:p>
    <w:bookmarkStart w:id="36" w:name="termination-for-convenience"/>
    <w:p>
      <w:pPr>
        <w:pStyle w:val="Heading3"/>
      </w:pPr>
      <w:r>
        <w:t xml:space="preserve">9.1 Termination for Convenience</w:t>
      </w:r>
    </w:p>
    <w:p>
      <w:pPr>
        <w:pStyle w:val="FirstParagraph"/>
      </w:pPr>
      <w:r>
        <w:t xml:space="preserve">Either party may terminate this Agreement for convenience upon 60 days</w:t>
      </w:r>
      <w:r>
        <w:t xml:space="preserve"> </w:t>
      </w:r>
      <w:r>
        <w:t xml:space="preserve">written notice, given the scale and multi-phase nature of the engagement.</w:t>
      </w:r>
    </w:p>
    <w:bookmarkEnd w:id="36"/>
    <w:bookmarkStart w:id="37" w:name="termination-for-cause"/>
    <w:p>
      <w:pPr>
        <w:pStyle w:val="Heading3"/>
      </w:pPr>
      <w:r>
        <w:t xml:space="preserve">9.2 Termination for Cause</w:t>
      </w:r>
    </w:p>
    <w:p>
      <w:pPr>
        <w:pStyle w:val="FirstParagraph"/>
      </w:pPr>
      <w:r>
        <w:t xml:space="preserve">Either party may terminate immediately upon written notice if the other</w:t>
      </w:r>
      <w:r>
        <w:t xml:space="preserve"> </w:t>
      </w:r>
      <w:r>
        <w:t xml:space="preserve">party materially breaches this Agreement and fails to cure within 15 days</w:t>
      </w:r>
      <w:r>
        <w:t xml:space="preserve"> </w:t>
      </w:r>
      <w:r>
        <w:t xml:space="preserve">of written notice of the breach.</w:t>
      </w:r>
    </w:p>
    <w:bookmarkEnd w:id="37"/>
    <w:bookmarkStart w:id="38" w:name="effect-of-termination"/>
    <w:p>
      <w:pPr>
        <w:pStyle w:val="Heading3"/>
      </w:pPr>
      <w:r>
        <w:t xml:space="preserve">9.3 Effect of Termination</w:t>
      </w:r>
    </w:p>
    <w:p>
      <w:pPr>
        <w:pStyle w:val="FirstParagraph"/>
      </w:pPr>
      <w:r>
        <w:t xml:space="preserve">Upon termination, Vendor shall be paid for Services satisfactorily</w:t>
      </w:r>
      <w:r>
        <w:t xml:space="preserve"> </w:t>
      </w:r>
      <w:r>
        <w:t xml:space="preserve">performed through the termination date, and shall comply with the data</w:t>
      </w:r>
      <w:r>
        <w:t xml:space="preserve"> </w:t>
      </w:r>
      <w:r>
        <w:t xml:space="preserve">return/destruction obligations in Section 7.2.</w:t>
      </w:r>
    </w:p>
    <w:bookmarkEnd w:id="38"/>
    <w:bookmarkEnd w:id="39"/>
    <w:bookmarkStart w:id="42" w:name="liability-and-indemnification"/>
    <w:p>
      <w:pPr>
        <w:pStyle w:val="Heading2"/>
      </w:pPr>
      <w:r>
        <w:t xml:space="preserve">10. Liability and Indemnification</w:t>
      </w:r>
    </w:p>
    <w:bookmarkStart w:id="40" w:name="limitation-of-liability"/>
    <w:p>
      <w:pPr>
        <w:pStyle w:val="Heading3"/>
      </w:pPr>
      <w:r>
        <w:t xml:space="preserve">10.1 Limitation of Liability</w:t>
      </w:r>
    </w:p>
    <w:p>
      <w:pPr>
        <w:pStyle w:val="FirstParagraph"/>
      </w:pPr>
      <w:r>
        <w:t xml:space="preserve">Except for breaches of Section 7 (Data Privacy and Confidentiality) or</w:t>
      </w:r>
      <w:r>
        <w:t xml:space="preserve"> </w:t>
      </w:r>
      <w:r>
        <w:t xml:space="preserve">Section 8 (Confidentiality), or claims arising from gross negligence or</w:t>
      </w:r>
      <w:r>
        <w:t xml:space="preserve"> </w:t>
      </w:r>
      <w:r>
        <w:t xml:space="preserve">willful misconduct, each party’s aggregate liability under this Agreement</w:t>
      </w:r>
      <w:r>
        <w:t xml:space="preserve"> </w:t>
      </w:r>
      <w:r>
        <w:t xml:space="preserve">shall not exceed the total fees paid or payable in the 12 months preceding</w:t>
      </w:r>
      <w:r>
        <w:t xml:space="preserve"> </w:t>
      </w:r>
      <w:r>
        <w:t xml:space="preserve">the claim.</w:t>
      </w:r>
    </w:p>
    <w:bookmarkEnd w:id="40"/>
    <w:bookmarkStart w:id="41" w:name="indemnification"/>
    <w:p>
      <w:pPr>
        <w:pStyle w:val="Heading3"/>
      </w:pPr>
      <w:r>
        <w:t xml:space="preserve">10.2 Indemnification</w:t>
      </w:r>
    </w:p>
    <w:p>
      <w:pPr>
        <w:pStyle w:val="FirstParagraph"/>
      </w:pPr>
      <w:r>
        <w:t xml:space="preserve">Vendor shall indemnify, defend, and hold harmless the Company from any</w:t>
      </w:r>
      <w:r>
        <w:t xml:space="preserve"> </w:t>
      </w:r>
      <w:r>
        <w:t xml:space="preserve">third-party claims arising from Vendor’s breach of this Agreement,</w:t>
      </w:r>
      <w:r>
        <w:t xml:space="preserve"> </w:t>
      </w:r>
      <w:r>
        <w:t xml:space="preserve">negligence, or willful misconduct in the performance of Services.</w:t>
      </w:r>
    </w:p>
    <w:bookmarkEnd w:id="41"/>
    <w:bookmarkEnd w:id="42"/>
    <w:bookmarkStart w:id="43" w:name="insurance"/>
    <w:p>
      <w:pPr>
        <w:pStyle w:val="Heading2"/>
      </w:pPr>
      <w:r>
        <w:t xml:space="preserve">11. Insurance</w:t>
      </w:r>
    </w:p>
    <w:p>
      <w:pPr>
        <w:pStyle w:val="FirstParagraph"/>
      </w:pPr>
      <w:r>
        <w:t xml:space="preserve">Vendor shall maintain insurance coverage consistent with Tier 1</w:t>
      </w:r>
      <w:r>
        <w:t xml:space="preserve"> </w:t>
      </w:r>
      <w:r>
        <w:t xml:space="preserve">requirements under POL-VRM-005 Section 6, and shall provide certificates</w:t>
      </w:r>
      <w:r>
        <w:t xml:space="preserve"> </w:t>
      </w:r>
      <w:r>
        <w:t xml:space="preserve">of insurance to the Company prior to commencement of Services and upon</w:t>
      </w:r>
      <w:r>
        <w:t xml:space="preserve"> </w:t>
      </w:r>
      <w:r>
        <w:t xml:space="preserve">each policy renewal.</w:t>
      </w:r>
    </w:p>
    <w:bookmarkEnd w:id="43"/>
    <w:bookmarkStart w:id="44" w:name="governing-law-and-dispute-resolution"/>
    <w:p>
      <w:pPr>
        <w:pStyle w:val="Heading2"/>
      </w:pPr>
      <w:r>
        <w:t xml:space="preserve">12. Governing Law and Dispute Resolution</w:t>
      </w:r>
    </w:p>
    <w:p>
      <w:pPr>
        <w:pStyle w:val="FirstParagraph"/>
      </w:pPr>
      <w:r>
        <w:t xml:space="preserve">This Agreement shall be governed by the laws of the state in which the</w:t>
      </w:r>
      <w:r>
        <w:t xml:space="preserve"> </w:t>
      </w:r>
      <w:r>
        <w:t xml:space="preserve">Company’s headquarters is located. Any disputes arising under this</w:t>
      </w:r>
      <w:r>
        <w:t xml:space="preserve"> </w:t>
      </w:r>
      <w:r>
        <w:t xml:space="preserve">Agreement shall first be escalated to each party’s designated executive</w:t>
      </w:r>
      <w:r>
        <w:t xml:space="preserve"> </w:t>
      </w:r>
      <w:r>
        <w:t xml:space="preserve">sponsor for good-faith resolution before either party pursues formal</w:t>
      </w:r>
      <w:r>
        <w:t xml:space="preserve"> </w:t>
      </w:r>
      <w:r>
        <w:t xml:space="preserve">dispute resolution.</w:t>
      </w:r>
    </w:p>
    <w:bookmarkEnd w:id="44"/>
    <w:bookmarkStart w:id="45" w:name="miscellaneous"/>
    <w:p>
      <w:pPr>
        <w:pStyle w:val="Heading2"/>
      </w:pPr>
      <w:r>
        <w:t xml:space="preserve">13. Miscellaneous</w:t>
      </w:r>
    </w:p>
    <w:p>
      <w:pPr>
        <w:pStyle w:val="FirstParagraph"/>
      </w:pPr>
      <w:r>
        <w:t xml:space="preserve">This Agreement, together with its Exhibits, constitutes the entire</w:t>
      </w:r>
      <w:r>
        <w:t xml:space="preserve"> </w:t>
      </w:r>
      <w:r>
        <w:t xml:space="preserve">agreement between the parties regarding its subject matter and supersedes</w:t>
      </w:r>
      <w:r>
        <w:t xml:space="preserve"> </w:t>
      </w:r>
      <w:r>
        <w:t xml:space="preserve">all prior negotiations or agreements. Amendments must be in writing and</w:t>
      </w:r>
      <w:r>
        <w:t xml:space="preserve"> </w:t>
      </w:r>
      <w:r>
        <w:t xml:space="preserve">signed by authorized representatives of both parties. Neither party may</w:t>
      </w:r>
      <w:r>
        <w:t xml:space="preserve"> </w:t>
      </w:r>
      <w:r>
        <w:t xml:space="preserve">assign this Agreement without the other’s prior written consent, except in</w:t>
      </w:r>
      <w:r>
        <w:t xml:space="preserve"> </w:t>
      </w:r>
      <w:r>
        <w:t xml:space="preserve">connection with a merger, acquisition, or sale of substantially all assets.</w:t>
      </w:r>
    </w:p>
    <w:bookmarkEnd w:id="45"/>
    <w:bookmarkStart w:id="46" w:name="approval"/>
    <w:p>
      <w:pPr>
        <w:pStyle w:val="Heading2"/>
      </w:pPr>
      <w:r>
        <w:t xml:space="preserve">Approval</w:t>
      </w:r>
    </w:p>
    <w:p>
      <w:pPr>
        <w:pStyle w:val="FirstParagraph"/>
      </w:pPr>
      <w:r>
        <w:t xml:space="preserve">Approved by: P. Dubois, VP of Procurement</w:t>
      </w:r>
      <w:r>
        <w:t xml:space="preserve"> </w:t>
      </w:r>
      <w:r>
        <w:t xml:space="preserve">Legal Review: Completed 2026-01-08, K. Whitfield, Senior Counsel</w:t>
      </w:r>
      <w:r>
        <w:t xml:space="preserve"> </w:t>
      </w:r>
      <w:r>
        <w:t xml:space="preserve">CFO Sign-off: Completed 2026-01-10, M. Alvarado, CFO</w:t>
      </w:r>
      <w:r>
        <w:t xml:space="preserve"> </w:t>
      </w:r>
      <w:r>
        <w:t xml:space="preserve">Date of Execution: 2026-01-14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2026-07-27T06:59:56Z</dcterms:created>
  <dcterms:modified xsi:type="dcterms:W3CDTF">2026-07-27T06:59:56Z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