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invoice"/>
    <w:p>
      <w:pPr>
        <w:pStyle w:val="Heading1"/>
      </w:pPr>
      <w:r>
        <w:t xml:space="preserve">Invoice</w:t>
      </w:r>
    </w:p>
    <w:p>
      <w:pPr>
        <w:pStyle w:val="FirstParagraph"/>
      </w:pPr>
      <w:r>
        <w:t xml:space="preserve">Invoice ID: INV-2026-5017</w:t>
      </w:r>
      <w:r>
        <w:t xml:space="preserve"> </w:t>
      </w:r>
      <w:r>
        <w:t xml:space="preserve">Contract ID: CTR-2026-0055</w:t>
      </w:r>
      <w:r>
        <w:t xml:space="preserve"> </w:t>
      </w:r>
      <w:r>
        <w:t xml:space="preserve">Supplier: Vantage Point Consulting Group LLC</w:t>
      </w:r>
      <w:r>
        <w:t xml:space="preserve"> </w:t>
      </w:r>
      <w:r>
        <w:t xml:space="preserve">Tax ID: 45-8812093</w:t>
      </w:r>
      <w:r>
        <w:t xml:space="preserve"> </w:t>
      </w:r>
      <w:r>
        <w:t xml:space="preserve">Invoice Date: 2026-05-31</w:t>
      </w:r>
      <w:r>
        <w:t xml:space="preserve"> </w:t>
      </w:r>
      <w:r>
        <w:t xml:space="preserve">Due Date: 2026-06-30 (Net 30)</w:t>
      </w:r>
      <w:r>
        <w:t xml:space="preserve"> </w:t>
      </w:r>
      <w:r>
        <w:t xml:space="preserve">Billing Period: May 2026 (Design Phase, Month 4 of 6)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invoice covers Design Phase professional services and pre-approved</w:t>
      </w:r>
      <w:r>
        <w:t xml:space="preserve"> </w:t>
      </w:r>
      <w:r>
        <w:t xml:space="preserve">travel expenses for May 2026, per the monthly percentage-of-completion</w:t>
      </w:r>
      <w:r>
        <w:t xml:space="preserve"> </w:t>
      </w:r>
      <w:r>
        <w:t xml:space="preserve">billing structure defined in Section 3.1 of the Master Services Agreement.</w:t>
      </w:r>
    </w:p>
    <w:bookmarkEnd w:id="20"/>
    <w:bookmarkStart w:id="21" w:name="professional-services"/>
    <w:p>
      <w:pPr>
        <w:pStyle w:val="Heading2"/>
      </w:pPr>
      <w:r>
        <w:t xml:space="preserve">Professional Services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reengineering workshops (3 sessions)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$385/hr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$9,240.00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Future-state design 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$265/hr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$10,600.00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Stakeholder interviews (Finance dept.)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$225/hr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$7,200.00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Technology roadmap drafting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Consultant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$225/hr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$6,300.00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management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Management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Weekly status reporting and governance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$265/hr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Professional Services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$40,460.00</w:t>
            </w:r>
          </w:p>
        </w:tc>
      </w:tr>
    </w:tbl>
    <w:p>
      <w:pPr>
        <w:pStyle w:val="BodyText"/>
      </w:pPr>
      <w:r>
        <w:t xml:space="preserve">Note: Contracted Design Phase monthly fee under Section 3.1 is $58,333.33;</w:t>
      </w:r>
      <w:r>
        <w:t xml:space="preserve"> </w:t>
      </w:r>
      <w:r>
        <w:t xml:space="preserve">this invoice reflects $40,460.00 in services because two planned</w:t>
      </w:r>
      <w:r>
        <w:t xml:space="preserve"> </w:t>
      </w:r>
      <w:r>
        <w:t xml:space="preserve">stakeholder interview sessions were rescheduled to June at the Company’s</w:t>
      </w:r>
      <w:r>
        <w:t xml:space="preserve"> </w:t>
      </w:r>
      <w:r>
        <w:t xml:space="preserve">request. The remaining balance will be reflected in next month’s invoice</w:t>
      </w:r>
      <w:r>
        <w:t xml:space="preserve"> </w:t>
      </w:r>
      <w:r>
        <w:t xml:space="preserve">per the percentage-of-completion methodology, not carried forward as an</w:t>
      </w:r>
      <w:r>
        <w:t xml:space="preserve"> </w:t>
      </w:r>
      <w:r>
        <w:t xml:space="preserve">overage.</w:t>
      </w:r>
    </w:p>
    <w:bookmarkEnd w:id="21"/>
    <w:bookmarkStart w:id="22" w:name="expense-reimbursement"/>
    <w:p>
      <w:pPr>
        <w:pStyle w:val="Heading2"/>
      </w:pPr>
      <w:r>
        <w:t xml:space="preserve">Expense Reimbursement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— Engagement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Round-trip flight + 2 nights hotel, on-site workshop (May 12-13)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 — Program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Round-trip flight, on-site workshop (May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$620.00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transportation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Client-site visits, May 12-13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Expense 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$2,675.00</w:t>
            </w:r>
          </w:p>
        </w:tc>
      </w:tr>
    </w:tbl>
    <w:p>
      <w:pPr>
        <w:pStyle w:val="BodyText"/>
      </w:pPr>
      <w:r>
        <w:t xml:space="preserve">Expense cap check: $2,675.00 represents 6.6% of this month’s professional</w:t>
      </w:r>
      <w:r>
        <w:t xml:space="preserve"> </w:t>
      </w:r>
      <w:r>
        <w:t xml:space="preserve">services fee, within the 8% cap defined in MSA Section 3.3.</w:t>
      </w:r>
    </w:p>
    <w:bookmarkEnd w:id="22"/>
    <w:bookmarkStart w:id="23" w:name="invoice-total"/>
    <w:p>
      <w:pPr>
        <w:pStyle w:val="Heading2"/>
      </w:pPr>
      <w:r>
        <w:t xml:space="preserve">Invoice Total</w:t>
      </w:r>
    </w:p>
    <w:p>
      <w:pPr>
        <w:pStyle w:val="FirstParagraph"/>
      </w:pPr>
      <w:r>
        <w:rPr>
          <w:bCs/>
          <w:b/>
        </w:rPr>
        <w:t xml:space="preserve">Professional Services: $40,460.00</w:t>
      </w:r>
      <w:r>
        <w:t xml:space="preserve"> </w:t>
      </w:r>
      <w:r>
        <w:rPr>
          <w:bCs/>
          <w:b/>
        </w:rPr>
        <w:t xml:space="preserve">Expenses: $2,675.00</w:t>
      </w:r>
      <w:r>
        <w:t xml:space="preserve"> </w:t>
      </w:r>
      <w:r>
        <w:rPr>
          <w:bCs/>
          <w:b/>
        </w:rPr>
        <w:t xml:space="preserve">Total Invoiced Amount: $43,135.00</w:t>
      </w:r>
    </w:p>
    <w:bookmarkEnd w:id="23"/>
    <w:bookmarkStart w:id="24" w:name="deliverables-referenced-this-period"/>
    <w:p>
      <w:pPr>
        <w:pStyle w:val="Heading2"/>
      </w:pPr>
      <w:r>
        <w:t xml:space="preserve">Deliverables Referenced This Period</w:t>
      </w:r>
    </w:p>
    <w:p>
      <w:pPr>
        <w:numPr>
          <w:ilvl w:val="0"/>
          <w:numId w:val="1001"/>
        </w:numPr>
        <w:pStyle w:val="Compact"/>
      </w:pPr>
      <w:r>
        <w:t xml:space="preserve">Future-state process design documentation (in progress, 60% complete)</w:t>
      </w:r>
    </w:p>
    <w:p>
      <w:pPr>
        <w:numPr>
          <w:ilvl w:val="0"/>
          <w:numId w:val="1001"/>
        </w:numPr>
        <w:pStyle w:val="Compact"/>
      </w:pPr>
      <w:r>
        <w:t xml:space="preserve">Stakeholder interview summary — Finance department (attached)</w:t>
      </w:r>
    </w:p>
    <w:p>
      <w:pPr>
        <w:numPr>
          <w:ilvl w:val="0"/>
          <w:numId w:val="1001"/>
        </w:numPr>
        <w:pStyle w:val="Compact"/>
      </w:pPr>
      <w:r>
        <w:t xml:space="preserve">Technology roadmap draft v0.3 (attached)</w:t>
      </w:r>
    </w:p>
    <w:bookmarkEnd w:id="24"/>
    <w:bookmarkStart w:id="25" w:name="supporting-notes"/>
    <w:p>
      <w:pPr>
        <w:pStyle w:val="Heading2"/>
      </w:pPr>
      <w:r>
        <w:t xml:space="preserve">Supporting Notes</w:t>
      </w:r>
    </w:p>
    <w:p>
      <w:pPr>
        <w:pStyle w:val="FirstParagraph"/>
      </w:pPr>
      <w:r>
        <w:t xml:space="preserve">This is the fourth invoice under this Agreement. Cumulative Design Phase</w:t>
      </w:r>
      <w:r>
        <w:t xml:space="preserve"> </w:t>
      </w:r>
      <w:r>
        <w:t xml:space="preserve">payments to date (including this invoice): $157,940.00 against a Design</w:t>
      </w:r>
      <w:r>
        <w:t xml:space="preserve"> </w:t>
      </w:r>
      <w:r>
        <w:t xml:space="preserve">Phase allocation of $350,000.00, well within the phase budget defined in</w:t>
      </w:r>
      <w:r>
        <w:t xml:space="preserve"> </w:t>
      </w:r>
      <w:r>
        <w:t xml:space="preserve">MSA Section 3.1.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Reviewer note: this invoice is below the expected monthly run-rate due to</w:t>
      </w:r>
      <w:r>
        <w:rPr>
          <w:iCs/>
          <w:i/>
        </w:rPr>
        <w:t xml:space="preserve"> </w:t>
      </w:r>
      <w:r>
        <w:rPr>
          <w:iCs/>
          <w:i/>
        </w:rPr>
        <w:t xml:space="preserve">a Company-requested schedule change, not a billing discrepancy — flag as</w:t>
      </w:r>
      <w:r>
        <w:rPr>
          <w:iCs/>
          <w:i/>
        </w:rPr>
        <w:t xml:space="preserve"> </w:t>
      </w:r>
      <w:r>
        <w:rPr>
          <w:iCs/>
          <w:i/>
        </w:rPr>
        <w:t xml:space="preserve">Pass with an explanatory note rather than a Warning for schedule deviation,</w:t>
      </w:r>
      <w:r>
        <w:rPr>
          <w:iCs/>
          <w:i/>
        </w:rPr>
        <w:t xml:space="preserve"> </w:t>
      </w:r>
      <w:r>
        <w:rPr>
          <w:iCs/>
          <w:i/>
        </w:rPr>
        <w:t xml:space="preserve">per the context provided above. Expense ratio is within the contracted</w:t>
      </w:r>
      <w:r>
        <w:rPr>
          <w:iCs/>
          <w:i/>
        </w:rPr>
        <w:t xml:space="preserve"> </w:t>
      </w:r>
      <w:r>
        <w:rPr>
          <w:iCs/>
          <w:i/>
        </w:rPr>
        <w:t xml:space="preserve">cap.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2026-07-27T07:17:40Z</dcterms:created>
  <dcterms:modified xsi:type="dcterms:W3CDTF">2026-07-27T07:17:40Z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