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" w:hAnsi="Helvetica"/>
          <w:b/>
          <w:color w:val="002147"/>
          <w:sz w:val="30"/>
        </w:rPr>
        <w:t>WS Discovery Agent (Olive) — Performance Readout</w:t>
      </w:r>
    </w:p>
    <w:p>
      <w:pPr>
        <w:spacing w:before="0" w:after="120"/>
      </w:pPr>
      <w:r>
        <w:rPr>
          <w:rFonts w:ascii="Helvetica" w:hAnsi="Helvetica"/>
          <w:b w:val="0"/>
          <w:i w:val="0"/>
          <w:color w:val="666666"/>
          <w:sz w:val="18"/>
        </w:rPr>
        <w:t>Prepared for Felix | Week Ending May 3, 2026 | 8-Week Trend + Last Week Deep Dive | Two attribution lenses: Participation &amp; Direct</w:t>
      </w:r>
    </w:p>
    <w:p>
      <w:pPr>
        <w:spacing w:before="160"/>
      </w:pPr>
      <w:r>
        <w:rPr>
          <w:rFonts w:ascii="Helvetica" w:hAnsi="Helvetica"/>
          <w:b/>
          <w:color w:val="002147"/>
          <w:sz w:val="23"/>
        </w:rPr>
        <w:t>At a Glance</w:t>
      </w:r>
    </w:p>
    <w:p>
      <w:pPr>
        <w:spacing w:before="0" w:after="160"/>
      </w:pPr>
      <w:r>
        <w:rPr>
          <w:rFonts w:ascii="Helvetica" w:hAnsi="Helvetica"/>
          <w:b w:val="0"/>
          <w:i w:val="0"/>
          <w:sz w:val="18"/>
        </w:rPr>
        <w:t xml:space="preserve">Two revenue lenses on last week: </w:t>
      </w:r>
      <w:r>
        <w:rPr>
          <w:rFonts w:ascii="Helvetica" w:hAnsi="Helvetica"/>
          <w:b/>
          <w:i w:val="0"/>
          <w:sz w:val="18"/>
        </w:rPr>
        <w:t>$292K Participation</w:t>
      </w:r>
      <w:r>
        <w:rPr>
          <w:rFonts w:ascii="Helvetica" w:hAnsi="Helvetica"/>
          <w:b w:val="0"/>
          <w:i w:val="0"/>
          <w:sz w:val="18"/>
        </w:rPr>
        <w:t xml:space="preserve"> and </w:t>
      </w:r>
      <w:r>
        <w:rPr>
          <w:rFonts w:ascii="Helvetica" w:hAnsi="Helvetica"/>
          <w:b/>
          <w:i w:val="0"/>
          <w:sz w:val="18"/>
        </w:rPr>
        <w:t>$5.3K Direct</w:t>
      </w:r>
      <w:r>
        <w:rPr>
          <w:rFonts w:ascii="Helvetica" w:hAnsi="Helvetica"/>
          <w:b w:val="0"/>
          <w:i w:val="0"/>
          <w:sz w:val="18"/>
        </w:rPr>
        <w:t xml:space="preserve"> (34 orders). Participation captures all revenue in chat-engaged visits &amp;mdash; the halo-level view. Direct isolates revenue where Product Finding Method = salesforce chat: product recs &amp;mdash; causally attributed. Chat visits reached 17,749, representing 0.8% of site traffic but 2.3% of site revenue. Engager CVR of 6.60% vs site 2.59% delivers a 2.5x lift, with RPV at $16.43 vs $5.84 (2.8x). PDP concentration remains the dominant surface at 78.5% desktop and 84.8% mobile. Mobile Customer Service page leak persists at 13.5% of mobile chat opens &amp;mdash; a routing opportunity.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563"/>
            <w:shd w:val="clear" w:color="auto" w:fill="F8F9FB"/>
          </w:tcPr>
          <w:p>
            <w:pPr>
              <w:jc w:val="center"/>
            </w:pPr>
            <w:r/>
            <w:r>
              <w:rPr>
                <w:rFonts w:ascii="Helvetica" w:hAnsi="Helvetica"/>
                <w:color w:val="666666"/>
                <w:sz w:val="14"/>
              </w:rPr>
              <w:t>CHAT VISITS</w:t>
              <w:br/>
              <w:t>(Last Week)</w:t>
            </w:r>
          </w:p>
          <w:p>
            <w:pPr>
              <w:jc w:val="center"/>
            </w:pPr>
            <w:r>
              <w:rPr>
                <w:rFonts w:ascii="Helvetica" w:hAnsi="Helvetica"/>
                <w:b/>
                <w:color w:val="002147"/>
                <w:sz w:val="26"/>
              </w:rPr>
              <w:t>17,749</w:t>
            </w:r>
          </w:p>
          <w:p>
            <w:pPr>
              <w:jc w:val="center"/>
            </w:pPr>
            <w:r>
              <w:rPr>
                <w:rFonts w:ascii="Helvetica" w:hAnsi="Helvetica"/>
                <w:b/>
                <w:color w:val="1A6B35"/>
                <w:sz w:val="14"/>
              </w:rPr>
              <w:t>+0.8% of site traffic</w:t>
            </w:r>
          </w:p>
          <w:p>
            <w:pPr>
              <w:jc w:val="center"/>
            </w:pPr>
            <w:r>
              <w:rPr>
                <w:rFonts w:ascii="Helvetica" w:hAnsi="Helvetica"/>
                <w:color w:val="666666"/>
                <w:sz w:val="12"/>
              </w:rPr>
              <w:t>2,146K total site visits</w:t>
            </w:r>
          </w:p>
        </w:tc>
        <w:tc>
          <w:tcPr>
            <w:tcW w:type="dxa" w:w="2563"/>
            <w:shd w:val="clear" w:color="auto" w:fill="F8F9FB"/>
          </w:tcPr>
          <w:p>
            <w:pPr>
              <w:jc w:val="center"/>
            </w:pPr>
            <w:r/>
            <w:r>
              <w:rPr>
                <w:rFonts w:ascii="Helvetica" w:hAnsi="Helvetica"/>
                <w:color w:val="666666"/>
                <w:sz w:val="14"/>
              </w:rPr>
              <w:t>PARTICIPATION REV</w:t>
              <w:br/>
              <w:t>(Last Week)</w:t>
            </w:r>
          </w:p>
          <w:p>
            <w:pPr>
              <w:jc w:val="center"/>
            </w:pPr>
            <w:r>
              <w:rPr>
                <w:rFonts w:ascii="Helvetica" w:hAnsi="Helvetica"/>
                <w:b/>
                <w:color w:val="002147"/>
                <w:sz w:val="26"/>
              </w:rPr>
              <w:t>$292K</w:t>
            </w:r>
          </w:p>
          <w:p>
            <w:pPr>
              <w:jc w:val="center"/>
            </w:pPr>
            <w:r>
              <w:rPr>
                <w:rFonts w:ascii="Helvetica" w:hAnsi="Helvetica"/>
                <w:b/>
                <w:color w:val="1A6B35"/>
                <w:sz w:val="14"/>
              </w:rPr>
              <w:t>2.3% of site revenue</w:t>
            </w:r>
          </w:p>
          <w:p>
            <w:pPr>
              <w:jc w:val="center"/>
            </w:pPr>
            <w:r>
              <w:rPr>
                <w:rFonts w:ascii="Helvetica" w:hAnsi="Helvetica"/>
                <w:color w:val="666666"/>
                <w:sz w:val="12"/>
              </w:rPr>
              <w:t>all revenue in engaged visits</w:t>
            </w:r>
          </w:p>
        </w:tc>
        <w:tc>
          <w:tcPr>
            <w:tcW w:type="dxa" w:w="2563"/>
            <w:shd w:val="clear" w:color="auto" w:fill="F8F9FB"/>
          </w:tcPr>
          <w:p>
            <w:pPr>
              <w:jc w:val="center"/>
            </w:pPr>
            <w:r/>
            <w:r>
              <w:rPr>
                <w:rFonts w:ascii="Helvetica" w:hAnsi="Helvetica"/>
                <w:color w:val="666666"/>
                <w:sz w:val="14"/>
              </w:rPr>
              <w:t>DIRECT REV</w:t>
              <w:br/>
              <w:t>(Last Week)</w:t>
            </w:r>
          </w:p>
          <w:p>
            <w:pPr>
              <w:jc w:val="center"/>
            </w:pPr>
            <w:r>
              <w:rPr>
                <w:rFonts w:ascii="Helvetica" w:hAnsi="Helvetica"/>
                <w:b/>
                <w:color w:val="002147"/>
                <w:sz w:val="26"/>
              </w:rPr>
              <w:t>$5,256</w:t>
            </w:r>
          </w:p>
          <w:p>
            <w:pPr>
              <w:jc w:val="center"/>
            </w:pPr>
            <w:r>
              <w:rPr>
                <w:rFonts w:ascii="Helvetica" w:hAnsi="Helvetica"/>
                <w:b/>
                <w:color w:val="1A6B35"/>
                <w:sz w:val="14"/>
              </w:rPr>
              <w:t>34 orders &amp;middot; 5.20% CVR</w:t>
            </w:r>
          </w:p>
          <w:p>
            <w:pPr>
              <w:jc w:val="center"/>
            </w:pPr>
            <w:r>
              <w:rPr>
                <w:rFonts w:ascii="Helvetica" w:hAnsi="Helvetica"/>
                <w:color w:val="666666"/>
                <w:sz w:val="12"/>
              </w:rPr>
              <w:t>from chat product recs</w:t>
            </w:r>
          </w:p>
        </w:tc>
        <w:tc>
          <w:tcPr>
            <w:tcW w:type="dxa" w:w="2563"/>
            <w:shd w:val="clear" w:color="auto" w:fill="F8F9FB"/>
          </w:tcPr>
          <w:p>
            <w:pPr>
              <w:jc w:val="center"/>
            </w:pPr>
            <w:r/>
            <w:r>
              <w:rPr>
                <w:rFonts w:ascii="Helvetica" w:hAnsi="Helvetica"/>
                <w:color w:val="666666"/>
                <w:sz w:val="14"/>
              </w:rPr>
              <w:t>ENGAGER CVR</w:t>
              <w:br/>
              <w:t>Participation Lens</w:t>
            </w:r>
          </w:p>
          <w:p>
            <w:pPr>
              <w:jc w:val="center"/>
            </w:pPr>
            <w:r>
              <w:rPr>
                <w:rFonts w:ascii="Helvetica" w:hAnsi="Helvetica"/>
                <w:b/>
                <w:color w:val="002147"/>
                <w:sz w:val="26"/>
              </w:rPr>
              <w:t>6.60%</w:t>
            </w:r>
          </w:p>
          <w:p>
            <w:pPr>
              <w:jc w:val="center"/>
            </w:pPr>
            <w:r>
              <w:rPr>
                <w:rFonts w:ascii="Helvetica" w:hAnsi="Helvetica"/>
                <w:b/>
                <w:color w:val="1A6B35"/>
                <w:sz w:val="14"/>
              </w:rPr>
              <w:t>+401 bps / 2.5x lift</w:t>
            </w:r>
          </w:p>
          <w:p>
            <w:pPr>
              <w:jc w:val="center"/>
            </w:pPr>
            <w:r>
              <w:rPr>
                <w:rFonts w:ascii="Helvetica" w:hAnsi="Helvetica"/>
                <w:color w:val="666666"/>
                <w:sz w:val="12"/>
              </w:rPr>
              <w:t>site avg 2.59%</w:t>
            </w:r>
          </w:p>
        </w:tc>
      </w:tr>
    </w:tbl>
    <w:p>
      <w:pPr>
        <w:spacing w:before="200"/>
      </w:pPr>
      <w:r>
        <w:rPr>
          <w:rFonts w:ascii="Helvetica" w:hAnsi="Helvetica"/>
          <w:b/>
          <w:color w:val="002147"/>
          <w:sz w:val="23"/>
        </w:rPr>
        <w:t>This Week's Read</w:t>
      </w:r>
    </w:p>
    <w:p>
      <w:pPr>
        <w:spacing w:before="0" w:after="60"/>
        <w:ind w:left="240" w:hanging="160"/>
      </w:pPr>
      <w:r>
        <w:rPr>
          <w:rFonts w:ascii="Helvetica" w:hAnsi="Helvetica"/>
          <w:b w:val="0"/>
          <w:i w:val="0"/>
          <w:sz w:val="18"/>
        </w:rPr>
        <w:t xml:space="preserve">• </w:t>
      </w:r>
      <w:r>
        <w:rPr>
          <w:rFonts w:ascii="Helvetica" w:hAnsi="Helvetica"/>
          <w:b/>
          <w:i w:val="0"/>
          <w:sz w:val="18"/>
        </w:rPr>
        <w:t>Participation lens: engagers outperform site average across every efficiency metric.</w:t>
      </w:r>
      <w:r>
        <w:rPr>
          <w:rFonts w:ascii="Helvetica" w:hAnsi="Helvetica"/>
          <w:b w:val="0"/>
          <w:i w:val="0"/>
          <w:sz w:val="18"/>
        </w:rPr>
        <w:t xml:space="preserve"> CVR 6.60% vs 2.59% (+401 bps, 2.5x lift), RPV $16.43 vs $5.84 (2.8x) &amp;mdash; Visit-to-Browse at 89.26% vs 69.25% and Browse-to-Cart at 21.3% vs 10.2% confirm the full-funnel advantage.</w:t>
      </w:r>
    </w:p>
    <w:p>
      <w:pPr>
        <w:spacing w:before="0" w:after="60"/>
        <w:ind w:left="240" w:hanging="160"/>
      </w:pPr>
      <w:r>
        <w:rPr>
          <w:rFonts w:ascii="Helvetica" w:hAnsi="Helvetica"/>
          <w:b w:val="0"/>
          <w:i w:val="0"/>
          <w:sz w:val="18"/>
        </w:rPr>
        <w:t xml:space="preserve">• </w:t>
      </w:r>
      <w:r>
        <w:rPr>
          <w:rFonts w:ascii="Helvetica" w:hAnsi="Helvetica"/>
          <w:b/>
          <w:i w:val="0"/>
          <w:sz w:val="18"/>
        </w:rPr>
        <w:t>Direct lens: $5,256 revenue from 34 orders across 654 rec-click visits at 5.20% CVR.</w:t>
      </w:r>
      <w:r>
        <w:rPr>
          <w:rFonts w:ascii="Helvetica" w:hAnsi="Helvetica"/>
          <w:b w:val="0"/>
          <w:i w:val="0"/>
          <w:sz w:val="18"/>
        </w:rPr>
        <w:t xml:space="preserve"> AOV of $155 trails the site average of $226 &amp;mdash; rec surfacing skews toward mid-price items; higher-ticket curation would close the gap.</w:t>
      </w:r>
    </w:p>
    <w:p>
      <w:pPr>
        <w:spacing w:before="0" w:after="60"/>
        <w:ind w:left="240" w:hanging="160"/>
      </w:pPr>
      <w:r>
        <w:rPr>
          <w:rFonts w:ascii="Helvetica" w:hAnsi="Helvetica"/>
          <w:b w:val="0"/>
          <w:i w:val="0"/>
          <w:sz w:val="18"/>
        </w:rPr>
        <w:t xml:space="preserve">• </w:t>
      </w:r>
      <w:r>
        <w:rPr>
          <w:rFonts w:ascii="Helvetica" w:hAnsi="Helvetica"/>
          <w:b/>
          <w:i w:val="0"/>
          <w:sz w:val="18"/>
        </w:rPr>
        <w:t>Visitor-level halo adds $226K beyond the engaged-visit window.</w:t>
      </w:r>
      <w:r>
        <w:rPr>
          <w:rFonts w:ascii="Helvetica" w:hAnsi="Helvetica"/>
          <w:b w:val="0"/>
          <w:i w:val="0"/>
          <w:sz w:val="18"/>
        </w:rPr>
        <w:t xml:space="preserve"> Visitor-segment revenue of $518K vs visit-segment $292K shows chat influence extends well past the session in which the agent was engaged.</w:t>
      </w:r>
    </w:p>
    <w:p>
      <w:pPr>
        <w:spacing w:before="0" w:after="60"/>
        <w:ind w:left="240" w:hanging="160"/>
      </w:pPr>
      <w:r>
        <w:rPr>
          <w:rFonts w:ascii="Helvetica" w:hAnsi="Helvetica"/>
          <w:b w:val="0"/>
          <w:i w:val="0"/>
          <w:sz w:val="18"/>
        </w:rPr>
        <w:t xml:space="preserve">• </w:t>
      </w:r>
      <w:r>
        <w:rPr>
          <w:rFonts w:ascii="Helvetica" w:hAnsi="Helvetica"/>
          <w:b/>
          <w:i w:val="0"/>
          <w:sz w:val="18"/>
        </w:rPr>
        <w:t>PDP dominates chat surfaces; mobile CS leak remains the largest routing gap.</w:t>
      </w:r>
      <w:r>
        <w:rPr>
          <w:rFonts w:ascii="Helvetica" w:hAnsi="Helvetica"/>
          <w:b w:val="0"/>
          <w:i w:val="0"/>
          <w:sz w:val="18"/>
        </w:rPr>
        <w:t xml:space="preserve"> Product detail captures 78.5% of desktop and 84.8% of mobile chat opens &amp;mdash; Customer Service page absorbs 13.5% of mobile opens, diverting high-intent traffic.</w:t>
      </w:r>
    </w:p>
    <w:p>
      <w:pPr>
        <w:spacing w:before="0" w:after="60"/>
        <w:ind w:left="240" w:hanging="160"/>
      </w:pPr>
      <w:r>
        <w:rPr>
          <w:rFonts w:ascii="Helvetica" w:hAnsi="Helvetica"/>
          <w:b w:val="0"/>
          <w:i w:val="0"/>
          <w:sz w:val="18"/>
        </w:rPr>
        <w:t xml:space="preserve">• </w:t>
      </w:r>
      <w:r>
        <w:rPr>
          <w:rFonts w:ascii="Helvetica" w:hAnsi="Helvetica"/>
          <w:b/>
          <w:i w:val="0"/>
          <w:sz w:val="18"/>
        </w:rPr>
        <w:t>No new launches this week; steady-state performance read.</w:t>
      </w:r>
      <w:r>
        <w:rPr>
          <w:rFonts w:ascii="Helvetica" w:hAnsi="Helvetica"/>
          <w:b w:val="0"/>
          <w:i w:val="0"/>
          <w:sz w:val="18"/>
        </w:rPr>
        <w:t xml:space="preserve"> With no platform changes or feature releases, this week provides a clean baseline for evaluating organic engagement patterns and conversion stability.</w:t>
      </w:r>
    </w:p>
    <w:p>
      <w:r>
        <w:br w:type="page"/>
      </w:r>
    </w:p>
    <w:p>
      <w:r>
        <w:rPr>
          <w:rFonts w:ascii="Helvetica" w:hAnsi="Helvetica"/>
          <w:b/>
          <w:color w:val="002147"/>
          <w:sz w:val="23"/>
        </w:rPr>
        <w:t>8-Week Performance Trend — Participation Lens</w:t>
      </w:r>
    </w:p>
    <w:p>
      <w:pPr>
        <w:spacing w:before="0" w:after="80"/>
      </w:pPr>
      <w:r>
        <w:rPr>
          <w:rFonts w:ascii="Helvetica" w:hAnsi="Helvetica"/>
          <w:b w:val="0"/>
          <w:i/>
          <w:color w:val="666666"/>
          <w:sz w:val="16"/>
        </w:rPr>
        <w:t>Revenue = all revenue in chat-engaged visits (Participation). Highlighted rows mark launch events. CVR = participation conversion; RPV = revenue per chat visit.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792"/>
            <w:shd w:val="clear" w:color="auto" w:fill="002147"/>
          </w:tcPr>
          <w:p>
            <w:pPr>
              <w:jc w:val="left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3456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1224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Chat Visits</w:t>
            </w:r>
          </w:p>
        </w:tc>
        <w:tc>
          <w:tcPr>
            <w:tcW w:type="dxa" w:w="1368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Participation Rev</w:t>
            </w:r>
          </w:p>
        </w:tc>
        <w:tc>
          <w:tcPr>
            <w:tcW w:type="dxa" w:w="936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CVR</w:t>
            </w:r>
          </w:p>
        </w:tc>
        <w:tc>
          <w:tcPr>
            <w:tcW w:type="dxa" w:w="1008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RPV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Mar 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&amp;mdash;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14,200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$195K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6.80%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$13.73</w:t>
            </w:r>
          </w:p>
        </w:tc>
      </w:tr>
      <w:tr>
        <w:tc>
          <w:tcPr>
            <w:tcW w:type="dxa" w:w="792"/>
            <w:shd w:val="clear" w:color="auto" w:fill="F0F2F5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Mar 16</w:t>
            </w:r>
          </w:p>
        </w:tc>
        <w:tc>
          <w:tcPr>
            <w:tcW w:type="dxa" w:w="3456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&amp;mdash;</w:t>
            </w:r>
          </w:p>
        </w:tc>
        <w:tc>
          <w:tcPr>
            <w:tcW w:type="dxa" w:w="1224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14,800</w:t>
            </w:r>
          </w:p>
        </w:tc>
        <w:tc>
          <w:tcPr>
            <w:tcW w:type="dxa" w:w="136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$205K</w:t>
            </w:r>
          </w:p>
        </w:tc>
        <w:tc>
          <w:tcPr>
            <w:tcW w:type="dxa" w:w="936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6.95%</w:t>
            </w:r>
          </w:p>
        </w:tc>
        <w:tc>
          <w:tcPr>
            <w:tcW w:type="dxa" w:w="100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$13.85</w:t>
            </w:r>
          </w:p>
        </w:tc>
      </w:tr>
      <w:tr>
        <w:tc>
          <w:tcPr>
            <w:tcW w:type="dxa" w:w="792"/>
            <w:shd w:val="clear" w:color="auto" w:fill="E6F0FA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Mar 23</w:t>
            </w:r>
          </w:p>
        </w:tc>
        <w:tc>
          <w:tcPr>
            <w:tcW w:type="dxa" w:w="3456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i w:val="0"/>
                <w:sz w:val="16"/>
              </w:rPr>
              <w:t>Desktop PIP Q&amp;A launched</w:t>
            </w:r>
          </w:p>
        </w:tc>
        <w:tc>
          <w:tcPr>
            <w:tcW w:type="dxa" w:w="1224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15,100</w:t>
            </w:r>
          </w:p>
        </w:tc>
        <w:tc>
          <w:tcPr>
            <w:tcW w:type="dxa" w:w="1368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$210K</w:t>
            </w:r>
          </w:p>
        </w:tc>
        <w:tc>
          <w:tcPr>
            <w:tcW w:type="dxa" w:w="936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7.10%</w:t>
            </w:r>
          </w:p>
        </w:tc>
        <w:tc>
          <w:tcPr>
            <w:tcW w:type="dxa" w:w="1008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$13.91</w:t>
            </w:r>
          </w:p>
        </w:tc>
      </w:tr>
      <w:tr>
        <w:tc>
          <w:tcPr>
            <w:tcW w:type="dxa" w:w="792"/>
            <w:shd w:val="clear" w:color="auto" w:fill="F0F2F5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Mar 30</w:t>
            </w:r>
          </w:p>
        </w:tc>
        <w:tc>
          <w:tcPr>
            <w:tcW w:type="dxa" w:w="3456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&amp;mdash;</w:t>
            </w:r>
          </w:p>
        </w:tc>
        <w:tc>
          <w:tcPr>
            <w:tcW w:type="dxa" w:w="1224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15,500</w:t>
            </w:r>
          </w:p>
        </w:tc>
        <w:tc>
          <w:tcPr>
            <w:tcW w:type="dxa" w:w="136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$220K</w:t>
            </w:r>
          </w:p>
        </w:tc>
        <w:tc>
          <w:tcPr>
            <w:tcW w:type="dxa" w:w="936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7.00%</w:t>
            </w:r>
          </w:p>
        </w:tc>
        <w:tc>
          <w:tcPr>
            <w:tcW w:type="dxa" w:w="100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$14.19</w:t>
            </w:r>
          </w:p>
        </w:tc>
      </w:tr>
      <w:tr>
        <w:tc>
          <w:tcPr>
            <w:tcW w:type="dxa" w:w="792"/>
            <w:shd w:val="clear" w:color="auto" w:fill="E6F0FA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Apr 6</w:t>
            </w:r>
          </w:p>
        </w:tc>
        <w:tc>
          <w:tcPr>
            <w:tcW w:type="dxa" w:w="3456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i w:val="0"/>
                <w:sz w:val="16"/>
              </w:rPr>
              <w:t>Mobile launched</w:t>
            </w:r>
          </w:p>
        </w:tc>
        <w:tc>
          <w:tcPr>
            <w:tcW w:type="dxa" w:w="1224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16,200</w:t>
            </w:r>
          </w:p>
        </w:tc>
        <w:tc>
          <w:tcPr>
            <w:tcW w:type="dxa" w:w="1368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$240K</w:t>
            </w:r>
          </w:p>
        </w:tc>
        <w:tc>
          <w:tcPr>
            <w:tcW w:type="dxa" w:w="936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6.85%</w:t>
            </w:r>
          </w:p>
        </w:tc>
        <w:tc>
          <w:tcPr>
            <w:tcW w:type="dxa" w:w="1008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$14.81</w:t>
            </w:r>
          </w:p>
        </w:tc>
      </w:tr>
      <w:tr>
        <w:tc>
          <w:tcPr>
            <w:tcW w:type="dxa" w:w="792"/>
            <w:shd w:val="clear" w:color="auto" w:fill="F0F2F5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Apr 13</w:t>
            </w:r>
          </w:p>
        </w:tc>
        <w:tc>
          <w:tcPr>
            <w:tcW w:type="dxa" w:w="3456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&amp;mdash;</w:t>
            </w:r>
          </w:p>
        </w:tc>
        <w:tc>
          <w:tcPr>
            <w:tcW w:type="dxa" w:w="1224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16,800</w:t>
            </w:r>
          </w:p>
        </w:tc>
        <w:tc>
          <w:tcPr>
            <w:tcW w:type="dxa" w:w="136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$260K</w:t>
            </w:r>
          </w:p>
        </w:tc>
        <w:tc>
          <w:tcPr>
            <w:tcW w:type="dxa" w:w="936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6.70%</w:t>
            </w:r>
          </w:p>
        </w:tc>
        <w:tc>
          <w:tcPr>
            <w:tcW w:type="dxa" w:w="100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$15.48</w:t>
            </w:r>
          </w:p>
        </w:tc>
      </w:tr>
      <w:tr>
        <w:tc>
          <w:tcPr>
            <w:tcW w:type="dxa" w:w="792"/>
            <w:shd w:val="clear" w:color="auto" w:fill="E6F0FA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Apr 20</w:t>
            </w:r>
          </w:p>
        </w:tc>
        <w:tc>
          <w:tcPr>
            <w:tcW w:type="dxa" w:w="3456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i w:val="0"/>
                <w:sz w:val="16"/>
              </w:rPr>
              <w:t>Nudge-click bug fixed</w:t>
            </w:r>
          </w:p>
        </w:tc>
        <w:tc>
          <w:tcPr>
            <w:tcW w:type="dxa" w:w="1224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17,100</w:t>
            </w:r>
          </w:p>
        </w:tc>
        <w:tc>
          <w:tcPr>
            <w:tcW w:type="dxa" w:w="1368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$275K</w:t>
            </w:r>
          </w:p>
        </w:tc>
        <w:tc>
          <w:tcPr>
            <w:tcW w:type="dxa" w:w="936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6.65%</w:t>
            </w:r>
          </w:p>
        </w:tc>
        <w:tc>
          <w:tcPr>
            <w:tcW w:type="dxa" w:w="1008"/>
            <w:shd w:val="clear" w:color="auto" w:fill="E6F0FA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$16.08</w:t>
            </w:r>
          </w:p>
        </w:tc>
      </w:tr>
      <w:tr>
        <w:tc>
          <w:tcPr>
            <w:tcW w:type="dxa" w:w="792"/>
            <w:shd w:val="clear" w:color="auto" w:fill="F0F2F5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Apr 27</w:t>
            </w:r>
          </w:p>
        </w:tc>
        <w:tc>
          <w:tcPr>
            <w:tcW w:type="dxa" w:w="3456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&amp;mdash;</w:t>
            </w:r>
          </w:p>
        </w:tc>
        <w:tc>
          <w:tcPr>
            <w:tcW w:type="dxa" w:w="1224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17,749</w:t>
            </w:r>
          </w:p>
        </w:tc>
        <w:tc>
          <w:tcPr>
            <w:tcW w:type="dxa" w:w="136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$292K</w:t>
            </w:r>
          </w:p>
        </w:tc>
        <w:tc>
          <w:tcPr>
            <w:tcW w:type="dxa" w:w="936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6.60%</w:t>
            </w:r>
          </w:p>
        </w:tc>
        <w:tc>
          <w:tcPr>
            <w:tcW w:type="dxa" w:w="100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$16.43</w:t>
            </w:r>
          </w:p>
        </w:tc>
      </w:tr>
    </w:tbl>
    <w:p>
      <w:pPr>
        <w:spacing w:before="200"/>
      </w:pPr>
      <w:r>
        <w:rPr>
          <w:rFonts w:ascii="Helvetica" w:hAnsi="Helvetica"/>
          <w:b/>
          <w:color w:val="002147"/>
          <w:sz w:val="23"/>
        </w:rPr>
        <w:t>Engager vs Site Average — Last Week (Participation Lens)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76"/>
            <w:shd w:val="clear" w:color="auto" w:fill="002147"/>
          </w:tcPr>
          <w:p>
            <w:pPr>
              <w:jc w:val="left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160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Site Avg (All Visits)</w:t>
            </w:r>
          </w:p>
        </w:tc>
        <w:tc>
          <w:tcPr>
            <w:tcW w:type="dxa" w:w="3168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Olive Engager (Chat Visit)</w:t>
            </w:r>
          </w:p>
        </w:tc>
        <w:tc>
          <w:tcPr>
            <w:tcW w:type="dxa" w:w="2232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Lift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Visits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2,146K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17,749 (0.8% of total)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&amp;mdash;</w:t>
            </w:r>
          </w:p>
        </w:tc>
      </w:tr>
      <w:tr>
        <w:tc>
          <w:tcPr>
            <w:tcW w:type="dxa" w:w="2376"/>
            <w:shd w:val="clear" w:color="auto" w:fill="F0F2F5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Revenue</w:t>
            </w:r>
          </w:p>
        </w:tc>
        <w:tc>
          <w:tcPr>
            <w:tcW w:type="dxa" w:w="2160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$12.5M</w:t>
            </w:r>
          </w:p>
        </w:tc>
        <w:tc>
          <w:tcPr>
            <w:tcW w:type="dxa" w:w="316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$292K (2.3% of total)</w:t>
            </w:r>
          </w:p>
        </w:tc>
        <w:tc>
          <w:tcPr>
            <w:tcW w:type="dxa" w:w="2232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2.8x share vs traffic share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CVR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2.59%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6.60%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+401 bps / 2.5x</w:t>
            </w:r>
          </w:p>
        </w:tc>
      </w:tr>
      <w:tr>
        <w:tc>
          <w:tcPr>
            <w:tcW w:type="dxa" w:w="2376"/>
            <w:shd w:val="clear" w:color="auto" w:fill="F0F2F5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AOV</w:t>
            </w:r>
          </w:p>
        </w:tc>
        <w:tc>
          <w:tcPr>
            <w:tcW w:type="dxa" w:w="2160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$226</w:t>
            </w:r>
          </w:p>
        </w:tc>
        <w:tc>
          <w:tcPr>
            <w:tcW w:type="dxa" w:w="316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$249</w:t>
            </w:r>
          </w:p>
        </w:tc>
        <w:tc>
          <w:tcPr>
            <w:tcW w:type="dxa" w:w="2232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+10.2% premium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RPV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$5.84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$16.43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2.8x</w:t>
            </w:r>
          </w:p>
        </w:tc>
      </w:tr>
      <w:tr>
        <w:tc>
          <w:tcPr>
            <w:tcW w:type="dxa" w:w="2376"/>
            <w:shd w:val="clear" w:color="auto" w:fill="F0F2F5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Visit &amp;rarr; Browse</w:t>
            </w:r>
          </w:p>
        </w:tc>
        <w:tc>
          <w:tcPr>
            <w:tcW w:type="dxa" w:w="2160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69.25%</w:t>
            </w:r>
          </w:p>
        </w:tc>
        <w:tc>
          <w:tcPr>
            <w:tcW w:type="dxa" w:w="316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89.26%</w:t>
            </w:r>
          </w:p>
        </w:tc>
        <w:tc>
          <w:tcPr>
            <w:tcW w:type="dxa" w:w="2232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+2,001 bps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Browse &amp;rarr; Cart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10.2%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21.3%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+1,110 bps</w:t>
            </w:r>
          </w:p>
        </w:tc>
      </w:tr>
    </w:tbl>
    <w:p>
      <w:pPr>
        <w:spacing w:before="200"/>
      </w:pPr>
      <w:r>
        <w:rPr>
          <w:rFonts w:ascii="Helvetica" w:hAnsi="Helvetica"/>
          <w:b/>
          <w:color w:val="002147"/>
          <w:sz w:val="23"/>
        </w:rPr>
        <w:t>Direct Revenue — Chat-Sourced Purchases</w:t>
      </w:r>
    </w:p>
    <w:p>
      <w:pPr>
        <w:spacing w:before="0" w:after="80"/>
      </w:pPr>
      <w:r>
        <w:rPr>
          <w:rFonts w:ascii="Helvetica" w:hAnsi="Helvetica"/>
          <w:b w:val="0"/>
          <w:i/>
          <w:color w:val="666666"/>
          <w:sz w:val="16"/>
        </w:rPr>
        <w:t>Direct = revenue from purchases where the product was sourced via a chat action (Product Finding Method = "salesforce chat: product recs"). Causally attributed.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2880"/>
            <w:shd w:val="clear" w:color="auto" w:fill="002147"/>
          </w:tcPr>
          <w:p>
            <w:pPr>
              <w:jc w:val="left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1296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Rec-Click Visits</w:t>
            </w:r>
          </w:p>
        </w:tc>
        <w:tc>
          <w:tcPr>
            <w:tcW w:type="dxa" w:w="1296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Direct Revenue</w:t>
            </w:r>
          </w:p>
        </w:tc>
        <w:tc>
          <w:tcPr>
            <w:tcW w:type="dxa" w:w="1152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Direct Orders</w:t>
            </w:r>
          </w:p>
        </w:tc>
        <w:tc>
          <w:tcPr>
            <w:tcW w:type="dxa" w:w="1008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Direct CVR</w:t>
            </w:r>
          </w:p>
        </w:tc>
        <w:tc>
          <w:tcPr>
            <w:tcW w:type="dxa" w:w="936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RPV</w:t>
            </w:r>
          </w:p>
        </w:tc>
        <w:tc>
          <w:tcPr>
            <w:tcW w:type="dxa" w:w="792"/>
            <w:shd w:val="clear" w:color="auto" w:fill="002147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color w:val="FFFFFF"/>
                <w:sz w:val="16"/>
              </w:rPr>
              <w:t>AOV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Last Week (Apr 27 &amp;ndash; May 3)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654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$5,256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5.20%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$8.04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$155</w:t>
            </w:r>
          </w:p>
        </w:tc>
      </w:tr>
      <w:tr>
        <w:tc>
          <w:tcPr>
            <w:tcW w:type="dxa" w:w="2880"/>
            <w:shd w:val="clear" w:color="auto" w:fill="F0F2F5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LTD (Oct 11 &amp;rarr; May 4, 30 wks)</w:t>
            </w:r>
          </w:p>
        </w:tc>
        <w:tc>
          <w:tcPr>
            <w:tcW w:type="dxa" w:w="1296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6,980</w:t>
            </w:r>
          </w:p>
        </w:tc>
        <w:tc>
          <w:tcPr>
            <w:tcW w:type="dxa" w:w="1296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$44,398</w:t>
            </w:r>
          </w:p>
        </w:tc>
        <w:tc>
          <w:tcPr>
            <w:tcW w:type="dxa" w:w="1152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239</w:t>
            </w:r>
          </w:p>
        </w:tc>
        <w:tc>
          <w:tcPr>
            <w:tcW w:type="dxa" w:w="1008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3.42%</w:t>
            </w:r>
          </w:p>
        </w:tc>
        <w:tc>
          <w:tcPr>
            <w:tcW w:type="dxa" w:w="936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$6.36</w:t>
            </w:r>
          </w:p>
        </w:tc>
        <w:tc>
          <w:tcPr>
            <w:tcW w:type="dxa" w:w="792"/>
            <w:shd w:val="clear" w:color="auto" w:fill="F0F2F5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$186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Site Avg (benchmark)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&amp;mdash;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&amp;mdash;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&amp;mdash;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2.59%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$5.84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Helvetica" w:hAnsi="Helvetica"/>
                <w:b w:val="0"/>
                <w:i w:val="0"/>
                <w:sz w:val="16"/>
              </w:rPr>
              <w:t>$226</w:t>
            </w:r>
          </w:p>
        </w:tc>
      </w:tr>
    </w:tbl>
    <w:p>
      <w:pPr>
        <w:spacing w:before="60" w:after="0"/>
      </w:pPr>
      <w:r>
        <w:rPr>
          <w:rFonts w:ascii="Helvetica" w:hAnsi="Helvetica"/>
          <w:b w:val="0"/>
          <w:i/>
          <w:color w:val="666666"/>
          <w:sz w:val="14"/>
        </w:rPr>
        <w:t>Recipe and menu clicks generated 76 / 3 visits and $273 / $0 last week (LTD: 4,559 recipe visits with $5,186 revenue, 1,003 menu visits with $330 revenue). Recipe conversion remains marginal at 0.61% LTD &amp;mdash; content engagement, not a revenue driver.</w:t>
      </w:r>
    </w:p>
    <w:p>
      <w:pPr>
        <w:spacing w:before="200"/>
      </w:pPr>
      <w:r>
        <w:rPr>
          <w:rFonts w:ascii="Helvetica" w:hAnsi="Helvetica"/>
          <w:b/>
          <w:color w:val="002147"/>
          <w:sz w:val="23"/>
        </w:rPr>
        <w:t>Forward View &amp; Watch Items</w:t>
      </w:r>
    </w:p>
    <w:p>
      <w:pPr>
        <w:spacing w:before="0" w:after="60"/>
        <w:ind w:left="240" w:hanging="160"/>
      </w:pPr>
      <w:r>
        <w:rPr>
          <w:rFonts w:ascii="Helvetica" w:hAnsi="Helvetica"/>
          <w:b w:val="0"/>
          <w:i w:val="0"/>
          <w:sz w:val="18"/>
        </w:rPr>
        <w:t xml:space="preserve">• </w:t>
      </w:r>
      <w:r>
        <w:rPr>
          <w:rFonts w:ascii="Helvetica" w:hAnsi="Helvetica"/>
          <w:b/>
          <w:i w:val="0"/>
          <w:sz w:val="18"/>
        </w:rPr>
        <w:t>WATCH | Engager CVR sustainability as chat visits scale.</w:t>
      </w:r>
      <w:r>
        <w:rPr>
          <w:rFonts w:ascii="Helvetica" w:hAnsi="Helvetica"/>
          <w:b w:val="0"/>
          <w:i w:val="0"/>
          <w:sz w:val="18"/>
        </w:rPr>
        <w:t xml:space="preserve"> CVR has moderated from 7.53% (Feb 23) to 6.60% (May 3) as visits grew 4x &amp;mdash; expected mix dilution. Monitor for stabilization above 6.0% over the next 4 weeks.</w:t>
      </w:r>
    </w:p>
    <w:p>
      <w:pPr>
        <w:spacing w:before="0" w:after="60"/>
        <w:ind w:left="240" w:hanging="160"/>
      </w:pPr>
      <w:r>
        <w:rPr>
          <w:rFonts w:ascii="Helvetica" w:hAnsi="Helvetica"/>
          <w:b w:val="0"/>
          <w:i w:val="0"/>
          <w:sz w:val="18"/>
        </w:rPr>
        <w:t xml:space="preserve">• </w:t>
      </w:r>
      <w:r>
        <w:rPr>
          <w:rFonts w:ascii="Helvetica" w:hAnsi="Helvetica"/>
          <w:b/>
          <w:i w:val="0"/>
          <w:sz w:val="18"/>
        </w:rPr>
        <w:t>ACT | Product Recs: lower AOV ($155 vs $226 site) &amp;mdash; lean into higher-ticket rec surfacing.</w:t>
      </w:r>
      <w:r>
        <w:rPr>
          <w:rFonts w:ascii="Helvetica" w:hAnsi="Helvetica"/>
          <w:b w:val="0"/>
          <w:i w:val="0"/>
          <w:sz w:val="18"/>
        </w:rPr>
        <w:t xml:space="preserve"> Direct CVR at 5.20% is strong but AOV drag limits revenue per order. Curate recs toward $250+ items to close the gap without sacrificing conversion.</w:t>
      </w:r>
    </w:p>
    <w:p>
      <w:pPr>
        <w:spacing w:before="0" w:after="60"/>
        <w:ind w:left="240" w:hanging="160"/>
      </w:pPr>
      <w:r>
        <w:rPr>
          <w:rFonts w:ascii="Helvetica" w:hAnsi="Helvetica"/>
          <w:b w:val="0"/>
          <w:i w:val="0"/>
          <w:sz w:val="18"/>
        </w:rPr>
        <w:t xml:space="preserve">• </w:t>
      </w:r>
      <w:r>
        <w:rPr>
          <w:rFonts w:ascii="Helvetica" w:hAnsi="Helvetica"/>
          <w:b/>
          <w:i w:val="0"/>
          <w:sz w:val="18"/>
        </w:rPr>
        <w:t>ACT | Route mobile Customer Service intent back into shopping flow.</w:t>
      </w:r>
      <w:r>
        <w:rPr>
          <w:rFonts w:ascii="Helvetica" w:hAnsi="Helvetica"/>
          <w:b w:val="0"/>
          <w:i w:val="0"/>
          <w:sz w:val="18"/>
        </w:rPr>
        <w:t xml:space="preserve"> 13.5% of mobile chat opens land on CS pages &amp;mdash; these are high-intent visits leaking out of the purchase funnel. An intent-detection redirect could recapture meaningful revenue.</w:t>
      </w:r>
    </w:p>
    <w:p>
      <w:pPr>
        <w:spacing w:before="0" w:after="60"/>
        <w:ind w:left="240" w:hanging="160"/>
      </w:pPr>
      <w:r>
        <w:rPr>
          <w:rFonts w:ascii="Helvetica" w:hAnsi="Helvetica"/>
          <w:b w:val="0"/>
          <w:i w:val="0"/>
          <w:sz w:val="18"/>
        </w:rPr>
        <w:t xml:space="preserve">• </w:t>
      </w:r>
      <w:r>
        <w:rPr>
          <w:rFonts w:ascii="Helvetica" w:hAnsi="Helvetica"/>
          <w:b/>
          <w:i w:val="0"/>
          <w:sz w:val="18"/>
        </w:rPr>
        <w:t>CONTEXT | LTD validates the scaling thesis on both lenses.</w:t>
      </w:r>
      <w:r>
        <w:rPr>
          <w:rFonts w:ascii="Helvetica" w:hAnsi="Helvetica"/>
          <w:b w:val="0"/>
          <w:i w:val="0"/>
          <w:sz w:val="18"/>
        </w:rPr>
        <w:t xml:space="preserve"> 30-week LTD: $44,398 Direct revenue from 239 orders across 6,980 rec-click visits (3.42% CVR). Participation lens shows $292K weekly run-rate with 2.5x CVR lift &amp;mdash; the engagement-to-revenue flywheel is compounding.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Helvetica" w:hAnsi="Helvetica"/>
        <w:color w:val="666666"/>
        <w:sz w:val="14"/>
      </w:rPr>
      <w:t>CONFIDENTIAL — Internal Use Only          wsgc.com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lvetica" w:hAnsi="Helvetica"/>
        <w:b/>
        <w:color w:val="002147"/>
        <w:sz w:val="14"/>
      </w:rPr>
      <w:t>WS DISCOVERY AGENT (OLIVE) — PERFORMANCE READOUT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