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B4F72"/>
          <w:sz w:val="40"/>
          <w:szCs w:val="40"/>
        </w:rPr>
        <w:t xml:space="preserve">Healthcare Domain Knowledge Guide</w:t>
      </w:r>
    </w:p>
    <w:p>
      <w:pPr>
        <w:spacing w:after="60"/>
      </w:pPr>
      <w:r>
        <w:rPr>
          <w:rFonts w:ascii="Arial" w:cs="Arial" w:eastAsia="Arial" w:hAnsi="Arial"/>
          <w:color w:val="5D6D7E"/>
          <w:sz w:val="24"/>
          <w:szCs w:val="24"/>
        </w:rPr>
        <w:t xml:space="preserve">Harbor Point Medical Center — Healthcare Analytics Project</w:t>
      </w:r>
    </w:p>
    <w:p>
      <w:pPr>
        <w:pBdr>
          <w:bottom w:val="single" w:color="1B4F72" w:sz="6" w:space="1"/>
        </w:pBdr>
        <w:spacing w:after="200"/>
      </w:pPr>
    </w:p>
    <w:p>
      <w:pPr>
        <w:spacing w:after="120"/>
      </w:pPr>
      <w:r>
        <w:rPr>
          <w:rFonts w:ascii="Arial" w:cs="Arial" w:eastAsia="Arial" w:hAnsi="Arial"/>
          <w:sz w:val="22"/>
          <w:szCs w:val="22"/>
        </w:rPr>
        <w:t xml:space="preserve">This document provides a reference guide to the healthcare terminology, concepts, and domain-specific language used throughout the Harbor Point Medical Center analytics project. It is intended for analysts, stakeholders, or portfolio reviewers who may not have a clinical or healthcare administration background. Terms are organized by the analytical themes explored in the project: clinical encounters and care settings, patient demographics and health outcomes, insurance and payer dynamics, financial metrics, pharmaceutical terminology, and data source context.</w:t>
      </w:r>
    </w:p>
    <w:p>
      <w:pPr>
        <w:spacing w:after="8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Clinical Encounters and Care Settings</w:t>
      </w:r>
    </w:p>
    <w:p>
      <w:pPr>
        <w:spacing w:after="120"/>
      </w:pPr>
      <w:r>
        <w:rPr>
          <w:rFonts w:ascii="Arial" w:cs="Arial" w:eastAsia="Arial" w:hAnsi="Arial"/>
          <w:sz w:val="22"/>
          <w:szCs w:val="22"/>
        </w:rPr>
        <w:t xml:space="preserve">A healthcare encounter is any recorded interaction between a patient and the health system. Encounters are classified by their care setting, which reflects the clinical environment, urgency, and resource intensity of the visit. The Synthea dataset and this project use six encounter classes, each representing a distinct point along the care continuum.</w:t>
      </w:r>
    </w:p>
    <w:p>
      <w:pPr>
        <w:spacing w:after="80"/>
      </w:pPr>
    </w:p>
    <w:p>
      <w:pPr>
        <w:pStyle w:val="Heading2"/>
      </w:pPr>
      <w:r>
        <w:t xml:space="preserve">Encounter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4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 Context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Ambulatory</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scheduled or walk-in outpatient visit where the patient is seen, treated, and released the same day. Covers primary care appointments, specialist consultations, follow-ups, and minor procedures.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Represents 35.5% of all encounters (18,936). Alongside wellness visits, ambulatory care forms the backbone of routine clinical activity in the system.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Wellness</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 preventive care visit focused on health maintenance rather than treating a specific complaint. Includes annual physicals, well-child visits, immunization appointments, and routine screenings.</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Represents 35.8% of all encounters (19,106). The high wellness volume reflects a patient population engaged in preventive care, though cost per visit is comparable to other outpatient settings in this dataset.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Outpatient</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clinical visit that involves more specialized diagnostic or therapeutic services than a standard ambulatory visit, but does not require overnight admission. Includes diagnostic imaging, lab workups, minor surgical procedures, and therapy sessions.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Represents 16.9% of encounters (9,003). Outpatient encounters bridge the gap between routine primary care and higher-acuity hospital-based care.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Urgent Care</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 unscheduled visit for conditions that require prompt attention but are not life-threatening. Typical presentations include minor fractures, lacerations, high fevers, and infections.</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Represents 4.4% of encounters (2,373). Urgent care serves as a pressure valve for the ED, handling conditions that need same-day attention without emergency-level resources.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Emergency</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unscheduled visit to the emergency department (ED) for acute, potentially serious conditions. Includes trauma, chest pain, severe infections, and acute exacerbations of chronic disease.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Represents 3.9% of encounters (2,090) across 853 unique patients. The project identifies that many ED visits involve primary-care-treatable conditions (sinusitis, pharyngitis, bronchitis), flagging ED diversion as a key recommendation.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Inpatient</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 encounter requiring overnight admission to the hospital. Involves multi-day stays with continuous monitoring, surgical interventions, or intensive treatment protocols.</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Represents 3.4% of encounters (1,838). Despite lower volume, inpatient encounters carry higher resource intensity per stay due to facility days, staffing, and equipment utilization.</w:t>
            </w:r>
          </w:p>
        </w:tc>
      </w:tr>
    </w:tbl>
    <w:p>
      <w:pPr>
        <w:spacing w:after="80"/>
      </w:pPr>
    </w:p>
    <w:p>
      <w:pPr>
        <w:pStyle w:val="Heading2"/>
      </w:pPr>
      <w:r>
        <w:t xml:space="preserve">Related Clinical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Length of Stay (LOS)</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duration of a single encounter, measured from the start timestamp to the stop timestamp. For inpatient encounters, LOS is typically measured in days. For ambulatory and outpatient encounters, it may be measured in hours or minutes. LOS is a key indicator of resource consumption and care complexity.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Readmission</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 subsequent hospital encounter occurring within a defined window (commonly 30 days) after a patient is discharged from a prior encounter. High readmission rates may signal gaps in discharge planning, inadequate follow-up care, or premature discharge. Readmission reduction is a major quality metric in U.S. healthcare.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ED Diversion</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care management strategy aimed at redirecting patients who present to the emergency department with non-emergency conditions toward more appropriate (and lower-cost) care settings such as urgent care, primary care, or telehealth. The project recommends ED diversion based on the finding that many ED visits involve treatable conditions like sinusitis and bronchitis.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Care Plan</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 structured clinical plan documenting the goals, interventions, and timeline for managing a patient’s health condition. Care plans are particularly relevant for chronic disease management, where coordinated multi-visit treatment strategies are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High Utilizer / Frequent Flyer</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patient who consumes a disproportionately high volume of encounters relative to the general population. In this project, the top 10% of patients by encounter frequency average 177 encounters each (vs. a population mean of 46) and account for 38.9% of total system costs. Targeted case management for this cohort is a primary recommendation.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Triage</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clinical process of prioritizing patients based on the severity of their condition. In the context of this project, triage protocols (including nurse hotlines) are recommended as a mechanism to route non-emergency patients to appropriate care settings before they arrive at the ED.</w:t>
            </w:r>
          </w:p>
        </w:tc>
      </w:tr>
    </w:tbl>
    <w:p>
      <w:r>
        <w:br w:type="page"/>
      </w:r>
    </w:p>
    <w:p>
      <w:pPr>
        <w:pStyle w:val="Heading1"/>
      </w:pPr>
      <w:r>
        <w:t xml:space="preserve">Patient Demographics and Health Outcomes</w:t>
      </w:r>
    </w:p>
    <w:p>
      <w:pPr>
        <w:spacing w:after="120"/>
      </w:pPr>
      <w:r>
        <w:rPr>
          <w:rFonts w:ascii="Arial" w:cs="Arial" w:eastAsia="Arial" w:hAnsi="Arial"/>
          <w:sz w:val="22"/>
          <w:szCs w:val="22"/>
        </w:rPr>
        <w:t xml:space="preserve">This section covers the clinical and demographic terminology used when analyzing the patient population, chronic disease burden, and mortality patterns across Harbor Point’s service area.</w:t>
      </w:r>
    </w:p>
    <w:p>
      <w:pPr>
        <w:spacing w:after="80"/>
      </w:pPr>
    </w:p>
    <w:p>
      <w:pPr>
        <w:pStyle w:val="Heading2"/>
      </w:pPr>
      <w:r>
        <w:t xml:space="preserve">Chronic Disease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4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 Context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Chronic Condition</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long-lasting health condition that typically persists for one year or more and requires ongoing medical attention, lifestyle management, or both. Unlike acute conditions (which resolve after treatment), chronic conditions are managed rather than cured.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70.6% of patients (827 of 1,171) carry at least one chronic condition. The project classifies conditions as chronic vs. acute using clinical coding logic.</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Comorbidity</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simultaneous presence of two or more chronic conditions in the same patient. Comorbid patients require more complex care coordination and tend to drive higher costs and utilization.</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obesity–prediabetes–hypertension triad is identified as the dominant comorbidity cluster. A comorbidity matrix is generated in the analysis notebooks.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Multimorbidity</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Having two or more chronic conditions simultaneously. While comorbidity often implies a primary condition with secondary ones, multimorbidity treats all conditions as co-equal contributors to a patient’s health burden.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project analyzes multimorbidity counts per patient to identify high-complexity segments driving disproportionate cost and utilization.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Prevalence</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proportion of a defined population that has a specific condition at a given point in time. Expressed as a percentage or rate.</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Obesity prevalence: 38.3% (449/1,171). Prediabetes: 27.1%. Hypertension: 25.8%. These are point-prevalence rates across the full patient population.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Prediabetes</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metabolic condition where blood sugar levels are elevated above normal but not yet high enough to be classified as Type 2 diabetes. Prediabetes is a significant risk factor for progression to diabetes, cardiovascular disease, and renal complications.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Affects 317 patients (27.1%). Part of the dominant chronic disease triad identified in the project.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Hypertension</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Persistently elevated blood pressure (systolic ≥130 mmHg or diastolic ≥80 mmHg). A major risk factor for heart attack, stroke, kidney disease, and heart failure.</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Affects 302 patients (25.8%). Drives significant pharmaceutical cost via antihypertensive medications (Hydrochlorothiazide, Atenolol/Chlorthalidone).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Hyperlipidemia</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Abnormally elevated levels of lipids (cholesterol, triglycerides) in the blood. A key modifiable risk factor for cardiovascular disease.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Affects 136 patients. Managed primarily through Simvastatin, the single highest-cost medication in the dataset ($13.4M total).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SNOMED CT</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Systematized Nomenclature of Medicine — Clinical Terms. A standardized, international clinical terminology system used to code diagnoses, procedures, and clinical findings in EHR systems. Each condition in the dataset is identified by a SNOMED code.</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conditions in the conditions table are coded with SNOMED CT codes and human-readable descriptions. The project uses descriptions for analysis and SNOMED codes for precise clinical identification.</w:t>
            </w:r>
          </w:p>
        </w:tc>
      </w:tr>
    </w:tbl>
    <w:p>
      <w:pPr>
        <w:spacing w:after="80"/>
      </w:pPr>
    </w:p>
    <w:p>
      <w:pPr>
        <w:pStyle w:val="Heading2"/>
      </w:pPr>
      <w:r>
        <w:t xml:space="preserve">Mortality and Outcomes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Mortality Rate</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proportion of patients in a defined population who are deceased. In this project, calculated as the count of patients with a non-null DEATHDATE divided by total patients. The overall mortality rate is 14.6% (171/1,171).</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Age at Death</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Calculated as the difference between DEATHDATE and BIRTHDATE. The project reports a mean age at death of 54.7 years, with a notable male skew (60% of deaths despite 48% male population share).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Survival Analysis</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statistical method for analyzing time-to-event data, specifically the duration until an event of interest (such as death) occurs. The project generates Kaplan-Meier style survival curves to visualize mortality patterns across demographic segments.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Social Determinants of Health (SDOH)</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Non-medical factors that influence health outcomes, including socioeconomic status, education, neighborhood environment, access to food and housing, and insurance coverage. The project’s recommendation for high-utilizer case management includes SDOH screening to address root causes of repeat visits.</w:t>
            </w:r>
          </w:p>
        </w:tc>
      </w:tr>
    </w:tbl>
    <w:p>
      <w:r>
        <w:br w:type="page"/>
      </w:r>
    </w:p>
    <w:p>
      <w:pPr>
        <w:pStyle w:val="Heading1"/>
      </w:pPr>
      <w:r>
        <w:t xml:space="preserve">Insurance and Payer Dynamics</w:t>
      </w:r>
    </w:p>
    <w:p>
      <w:pPr>
        <w:spacing w:after="120"/>
      </w:pPr>
      <w:r>
        <w:rPr>
          <w:rFonts w:ascii="Arial" w:cs="Arial" w:eastAsia="Arial" w:hAnsi="Arial"/>
          <w:sz w:val="22"/>
          <w:szCs w:val="22"/>
        </w:rPr>
        <w:t xml:space="preserve">The U.S. healthcare system relies on a complex mix of commercial (private) insurance, government-sponsored programs, and uninsured self-pay arrangements. Understanding payer dynamics is essential for interpreting the financial analysis in this project.</w:t>
      </w:r>
    </w:p>
    <w:p>
      <w:pPr>
        <w:spacing w:after="80"/>
      </w:pPr>
    </w:p>
    <w:p>
      <w:pPr>
        <w:pStyle w:val="Heading2"/>
      </w:pPr>
      <w:r>
        <w:t xml:space="preserve">Payer Types and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4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 Context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Payer</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entity that finances or reimburses healthcare services on behalf of patients. Payers include commercial insurance companies, government programs, and self-pay arrangements.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dataset includes 10 payers: 6 commercial (BCBS, UnitedHealthcare, Cigna, Aetna, Humana, Anthem), 3 public (Medicare, Medicaid, Dual Eligible), and NO_INSURANCE.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Commercial Insurance</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Private health insurance provided by for-profit or non-profit companies, typically obtained through an employer (group plans) or purchased individually on the marketplace. Coverage terms, reimbursement rates, and cost-sharing vary by plan.</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Six commercial payers in the dataset. Coverage rates range from Anthem’s 76.7% to BCBS’s 51.2%, representing significant contract negotiation leverage.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Medicare</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federal government health insurance program primarily serving Americans aged 65 and older, as well as younger individuals with certain disabilities or end-stage renal disease. Funded through payroll taxes and premiums.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Covers patients in the dataset at a 63.8% rate. One of the higher-performing payers by coverage ratio.</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Medicaid</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 joint federal-state program providing health coverage to low-income individuals and families. Eligibility and benefits vary by state. In Massachusetts, the state Medicaid program operates under MassHealth.</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58.0% coverage rate. The project recommends connecting uninsured patients with Medicaid/MassHealth enrollment as a path to reducing uncompensated care.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Dual Eligible</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Patients who qualify for both Medicare and Medicaid simultaneously, typically low-income seniors or disabled individuals. Dual-eligible patients tend to have complex health needs and high utilization.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Despite serving a high-complexity population, Dual Eligible has the lowest coverage rate among insured payers at 33.2%, flagged as a contract negotiation priority.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NO_INSURANCE / Uninsured</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Patients without any active insurance coverage at the time of the encounter. All costs are either absorbed by the health system as uncompensated care or billed directly to the patient as self-pay.</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single largest payer category by patient count (693 patients, 10,175 encounters). Generates $1.31M in entirely unreimbursed care with a 0% coverage 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MassHealth</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Massachusetts’s Medicaid program, administered by the Executive Office of Health and Human Services. Provides comprehensive coverage to eligible low-income residents.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Referenced in the recommendations as a key enrollment pathway for currently uninsured patients.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Health Connector</w:t>
            </w:r>
            <w:r>
              <w:rPr>
                <w:rFonts w:ascii="Arial" w:cs="Arial" w:eastAsia="Arial" w:hAnsi="Arial"/>
                <w:sz w:val="20"/>
                <w:szCs w:val="20"/>
              </w:rPr>
              <w:t xml:space="preserve"/>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Massachusetts Health Connector is the state’s health insurance marketplace, established under the Affordable Care Act. Provides subsidized and unsubsidized commercial plans for individuals and small businesses.</w:t>
            </w:r>
          </w:p>
        </w:tc>
        <w:tc>
          <w:tcPr>
            <w:tcW w:type="dxa" w:w="4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Referenced alongside MassHealth as a coverage enrollment pathway for the uninsured population.</w:t>
            </w:r>
          </w:p>
        </w:tc>
      </w:tr>
    </w:tbl>
    <w:p>
      <w:pPr>
        <w:spacing w:after="80"/>
      </w:pPr>
    </w:p>
    <w:p>
      <w:pPr>
        <w:pStyle w:val="Heading2"/>
      </w:pPr>
      <w:r>
        <w:t xml:space="preserve">Payer Financial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Coverage Rate</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percentage of total billed charges that a payer reimburses. Calculated as (Total Covered / Total Billed) × 100. A coverage rate of 60% means the payer reimburses 60 cents of every dollar billed, with the remaining 40% falling to the patient or the health system as unreimbursed cost.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Reimbursement</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payment a payer makes to the healthcare provider for services rendered. Reimbursement rates are determined by the terms of the payer contract and may differ from the provider’s billed charges.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Payer Mix</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distribution of a health system’s patient volume across different insurance categories. A favorable payer mix (higher share of well-reimbursing commercial payers) strengthens revenue; an unfavorable mix (high uninsured or low-reimbursing payers) pressures margins.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Uncompensated Care</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Healthcare services delivered to patients for which the provider receives no payment. Includes charity care (services provided for free to those unable to pay) and bad debt (services billed but not collected). In this project, the $1.31M in unreimbursed care from uninsured patients represents uncompensated care volume.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Payer Contract Negotiation</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process by which health systems negotiate reimbursement rates, covered services, and payment terms with insurance companies. The project identifies BCBS, Humana, and Dual Eligible as priority targets for renegotiation based on below-average coverage rates.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Payer Transition</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 change in a patient’s insurance coverage over time, such as switching from a commercial plan to Medicare upon turning 65, or losing employer-sponsored coverage. Tracked in the payer_transitions table.</w:t>
            </w:r>
          </w:p>
        </w:tc>
      </w:tr>
    </w:tbl>
    <w:p>
      <w:r>
        <w:br w:type="page"/>
      </w:r>
    </w:p>
    <w:p>
      <w:pPr>
        <w:pStyle w:val="Heading1"/>
      </w:pPr>
      <w:r>
        <w:t xml:space="preserve">Financial and Cost Metrics</w:t>
      </w:r>
    </w:p>
    <w:p>
      <w:pPr>
        <w:spacing w:after="120"/>
      </w:pPr>
      <w:r>
        <w:rPr>
          <w:rFonts w:ascii="Arial" w:cs="Arial" w:eastAsia="Arial" w:hAnsi="Arial"/>
          <w:sz w:val="22"/>
          <w:szCs w:val="22"/>
        </w:rPr>
        <w:t xml:space="preserve">Healthcare financial analysis uses a specific vocabulary for describing how costs are generated, allocated, and recovered. The following terms appear throughout the project’s cost and payer analyses.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Total Claim Cost</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full amount billed by the provider for a single encounter or service. Represents the gross charge before any insurance adjustments or patient payments. Referred to as TOTAL_CLAIM_COST in the encounters table.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Payer Coverage Amount</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portion of the total claim cost that the insurance payer reimburses. The difference between the total claim cost and the payer coverage amount is the patient’s financial responsibility (out-of-pocket cost).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Out-of-Pocket (OOP) Cost</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amount a patient pays directly for healthcare services, calculated as Total Claim Cost minus Payer Coverage. Includes deductibles, copayments, coinsurance, and any charges not covered by insurance.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Deductible</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fixed dollar amount a patient must pay for covered services before their insurance plan begins to pay. For example, a $1,000 deductible means the patient pays the first $1,000 of annual healthcare costs before coverage kicks 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Copayment (Copay)</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fixed dollar amount the patient pays at the time of service (e.g., $25 for a primary care visit, $50 for a specialist). Copays apply after the deductible is met and are set by the insurance plan.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Coinsurance</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percentage of costs the patient pays after meeting their deductible (e.g., 20% coinsurance means the patient pays 20% and the insurer pays 80%). Differs from a copay in that it is a percentage rather than a flat amount.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Healthcare Expenses vs. Healthcare Coverage</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lifetime aggregate fields in the patients table. HEALTHCARE_EXPENSES represents the cumulative total of all charges incurred over the patient’s history. HEALTHCARE_COVERAGE represents the cumulative total reimbursed by insurance. The ratio of coverage to expenses gives the lifetime coverage ratio.</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Base Cost</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unit price of a medication or procedure before any quantity multipliers or insurance adjustments. In the medications table, TOTALCOST = BASE_COST × DISPENSES.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Catastrophic Cost</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analytical flag used in this project to identify patients whose total out-of-pocket costs exceed a defined threshold, indicating severe financial burden. These patients are at highest risk for care avoidance and medical debt.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Formulary</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 list of prescription drugs covered by a health insurance plan, often organized into tiers with different cost-sharing levels. Formulary optimization (referenced in the project recommendations) involves selecting therapeutically equivalent but lower-cost drugs to reduce pharmaceutical spend.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Year-over-Year (YoY) Change</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percentage change in a metric from one year to the next. Used in the project’s financial_yearly_trends analysis to track cost growth, coverage changes, and patient volume trends over time.</w:t>
            </w:r>
          </w:p>
        </w:tc>
      </w:tr>
    </w:tbl>
    <w:p>
      <w:r>
        <w:br w:type="page"/>
      </w:r>
    </w:p>
    <w:p>
      <w:pPr>
        <w:pStyle w:val="Heading1"/>
      </w:pPr>
      <w:r>
        <w:t xml:space="preserve">Pharmaceutical Terminology</w:t>
      </w:r>
    </w:p>
    <w:p>
      <w:pPr>
        <w:spacing w:after="120"/>
      </w:pPr>
      <w:r>
        <w:rPr>
          <w:rFonts w:ascii="Arial" w:cs="Arial" w:eastAsia="Arial" w:hAnsi="Arial"/>
          <w:sz w:val="22"/>
          <w:szCs w:val="22"/>
        </w:rPr>
        <w:t xml:space="preserve">The project’s cost analysis includes a significant focus on medication economics. The following terms provide context for the pharmaceutical data and recommendations.</w:t>
      </w:r>
    </w:p>
    <w:p>
      <w:pPr>
        <w:spacing w:after="80"/>
      </w:pPr>
    </w:p>
    <w:p>
      <w:pPr>
        <w:pStyle w:val="Heading2"/>
      </w:pPr>
      <w:r>
        <w:t xml:space="preserve">Key Medications in the Dataset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3200"/>
        <w:gridCol w:w="12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Medication</w:t>
            </w:r>
          </w:p>
        </w:tc>
        <w:tc>
          <w:tcPr>
            <w:tcW w:type="dxa" w:w="2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Drug Class</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Clinical Use</w:t>
            </w:r>
          </w:p>
        </w:tc>
        <w:tc>
          <w:tcPr>
            <w:tcW w:type="dxa" w:w="1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 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Simvastatin</w:t>
            </w:r>
            <w:r>
              <w:rPr>
                <w:rFonts w:ascii="Arial" w:cs="Arial" w:eastAsia="Arial" w:hAnsi="Arial"/>
                <w:sz w:val="20"/>
                <w:szCs w:val="20"/>
              </w:rPr>
              <w:t xml:space="preserve"/>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Statin (HMG-CoA reductase inhibitor)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Lowers LDL cholesterol to reduce cardiovascular disease risk. First-line therapy for hyperlipidemia.</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$13.4M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Hydrochlorothiazide</w:t>
            </w:r>
            <w:r>
              <w:rPr>
                <w:rFonts w:ascii="Arial" w:cs="Arial" w:eastAsia="Arial" w:hAnsi="Arial"/>
                <w:sz w:val="20"/>
                <w:szCs w:val="20"/>
              </w:rPr>
              <w:t xml:space="preserve"/>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Thiazide diuretic</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First-line antihypertensive that reduces blood pressure by promoting sodium and water excretion through the kidneys.</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$9.7M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Atenolol/Chlorthalidone</w:t>
            </w:r>
            <w:r>
              <w:rPr>
                <w:rFonts w:ascii="Arial" w:cs="Arial" w:eastAsia="Arial" w:hAnsi="Arial"/>
                <w:sz w:val="20"/>
                <w:szCs w:val="20"/>
              </w:rPr>
              <w:t xml:space="preserve"/>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Beta-blocker + thiazide diuretic combination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Combination antihypertensive used when single-agent therapy is insufficient to control blood pressure.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$8.6M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Albuterol (inhaler)</w:t>
            </w:r>
            <w:r>
              <w:rPr>
                <w:rFonts w:ascii="Arial" w:cs="Arial" w:eastAsia="Arial" w:hAnsi="Arial"/>
                <w:sz w:val="20"/>
                <w:szCs w:val="20"/>
              </w:rPr>
              <w:t xml:space="preserve"/>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Short-acting beta-2 agonist (SABA)</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Rescue bronchodilator for acute asthma symptoms and COPD exacerbations. Relaxes airway smooth muscle for rapid symptom relief.</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$8.4M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Epinephrine (auto-injector)</w:t>
            </w:r>
            <w:r>
              <w:rPr>
                <w:rFonts w:ascii="Arial" w:cs="Arial" w:eastAsia="Arial" w:hAnsi="Arial"/>
                <w:sz w:val="20"/>
                <w:szCs w:val="20"/>
              </w:rPr>
              <w:t xml:space="preserve"/>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Sympathomimetic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Emergency treatment for severe allergic reactions (anaphylaxis). Reverses airway constriction and cardiovascular collapse.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Humulin (Insulin)</w:t>
            </w:r>
            <w:r>
              <w:rPr>
                <w:rFonts w:ascii="Arial" w:cs="Arial" w:eastAsia="Arial" w:hAnsi="Arial"/>
                <w:sz w:val="20"/>
                <w:szCs w:val="20"/>
              </w:rPr>
              <w:t xml:space="preserve"/>
            </w:r>
          </w:p>
        </w:tc>
        <w:tc>
          <w:tcPr>
            <w:tcW w:type="dxa" w:w="2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Insulin preparation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Hormone replacement therapy for diabetes. Regulates blood glucose levels in patients whose bodies do not produce sufficient insulin.</w:t>
            </w:r>
          </w:p>
        </w:tc>
        <w:tc>
          <w:tcPr>
            <w:tcW w:type="dxa" w:w="1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$3.6M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Metformin</w:t>
            </w:r>
            <w:r>
              <w:rPr>
                <w:rFonts w:ascii="Arial" w:cs="Arial" w:eastAsia="Arial" w:hAnsi="Arial"/>
                <w:sz w:val="20"/>
                <w:szCs w:val="20"/>
              </w:rPr>
              <w:t xml:space="preserve"/>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Biguanide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First-line oral medication for Type 2 diabetes. Reduces hepatic glucose production and improves insulin sensitivity.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Identified in analysis</w:t>
            </w:r>
          </w:p>
        </w:tc>
      </w:tr>
    </w:tbl>
    <w:p>
      <w:pPr>
        <w:spacing w:after="80"/>
      </w:pPr>
    </w:p>
    <w:p>
      <w:pPr>
        <w:pStyle w:val="Heading2"/>
      </w:pPr>
      <w:r>
        <w:t xml:space="preserve">Pharmaceutical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Dispense / Dispense Count</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number of times a medication was dispensed (filled) for a patient. In the dataset, DISPENSES represents the quantity multiplier applied to the BASE_COST to calculate TOTALCOST.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Generic Substitution</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Replacing a brand-name drug with a therapeutically equivalent generic version that contains the same active ingredient at the same dosage. Generics typically cost 30–80% less than their brand-name equivalents. Referenced in the project’s formulary optimization recommendation.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Polypharmacy</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concurrent use of multiple medications by a single patient, typically defined as five or more active prescriptions. Polypharmacy increases the risk of drug interactions, adverse events, and medication non-adherence, while driving higher pharmaceutical costs.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Value-Based Pharmaceutical Contracts</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Payment arrangements where the price of a drug is tied to its demonstrated clinical effectiveness rather than a fixed list price. Referenced in the project recommendations as a strategy to reduce medication cost concentration.</w:t>
            </w:r>
          </w:p>
        </w:tc>
      </w:tr>
    </w:tbl>
    <w:p>
      <w:r>
        <w:br w:type="page"/>
      </w:r>
    </w:p>
    <w:p>
      <w:pPr>
        <w:pStyle w:val="Heading1"/>
      </w:pPr>
      <w:r>
        <w:t xml:space="preserve">Data Source and Technical Context</w:t>
      </w:r>
    </w:p>
    <w:p>
      <w:pPr>
        <w:spacing w:after="120"/>
      </w:pPr>
      <w:r>
        <w:rPr>
          <w:rFonts w:ascii="Arial" w:cs="Arial" w:eastAsia="Arial" w:hAnsi="Arial"/>
          <w:sz w:val="22"/>
          <w:szCs w:val="22"/>
        </w:rPr>
        <w:t xml:space="preserve">This section provides context on the data generation methodology and key technical terms used in the project’s data pipeline.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Synthea</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open-source synthetic patient generator developed by The MITRE Corporation. Synthea creates realistic (but entirely fictional) patient records including demographics, encounters, conditions, medications, procedures, and observations. The April 2020 Massachusetts release used in this project generates patient histories spanning from birth to the data generation date.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Electronic Health Record (EHR)</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 digital version of a patient’s medical chart maintained by a healthcare provider. EHRs contain clinical data including diagnoses, medications, lab results, vital signs, and provider notes. The Synthea dataset simulates EHR data as it would appear in a hospital’s clinical database.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Synthetic Data</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Artificially generated data that mimics the statistical properties and structure of real-world data without containing any actual patient information. Synthetic data is used for analytics development, education, and demonstration purposes where real patient data would raise privacy (HIPAA) concerns.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HIPAA</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Health Insurance Portability and Accountability Act of 1996. A U.S. federal law that establishes national standards for protecting sensitive patient health information (Protected Health Information, or PHI) from disclosure without patient consent. Because this project uses synthetic data, HIPAA restrictions do not apply, but the project follows realistic data handling practices.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UUID</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Universally Unique Identifier. A 128-bit identifier used as the primary key format throughout the Synthea dataset (e.g., patient IDs, encounter IDs). UUIDs ensure globally unique record identification without sequential numbering.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Star Schema</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 data warehouse design pattern where a central fact table (containing measurable events like encounters or transactions) is surrounded by dimension tables (containing descriptive attributes like patient demographics, dates, or payer details). The project’s Power BI data model uses a star schema with processed CSV summaries feeding into dimension and fact relationships.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DAX (Data Analysis Expressions)</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formula language used in Power BI, Excel Power Pivot, and SQL Server Analysis Services for creating calculated columns, measures, and custom tables. The project’s healthcare_dashboard_model.dax file contains all calculated measures used in the Power BI dashboard.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CTE (Common Table Expression)</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 temporary, named result set in SQL defined with the WITH clause. CTEs improve query readability and performance by breaking complex queries into logical, reusable blocks. The project uses CTE-based approaches for the patient_360_summary view to avoid row explosion from multiple large JOINs.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ETL (Extract, Transform, Load)</w:t>
            </w:r>
            <w:r>
              <w:rPr>
                <w:rFonts w:ascii="Arial" w:cs="Arial" w:eastAsia="Arial" w:hAnsi="Arial"/>
                <w:sz w:val="20"/>
                <w:szCs w:val="20"/>
              </w:rPr>
              <w:t xml:space="preserve"/>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process of extracting data from source systems, transforming it (cleaning, aggregating, restructuring), and loading it into a target system (database or data warehouse). The project’s SQL-to-Python-to-Power BI pipeline follows an ETL pattern.</w:t>
            </w:r>
          </w:p>
        </w:tc>
      </w:tr>
    </w:tbl>
    <w:p>
      <w:pPr>
        <w:spacing w:after="80"/>
      </w:pPr>
    </w:p>
    <w:p>
      <w:pPr>
        <w:spacing w:after="80"/>
      </w:pPr>
    </w:p>
    <w:p>
      <w:pPr>
        <w:pBdr>
          <w:top w:val="single" w:color="1B4F72" w:sz="4" w:space="1"/>
        </w:pBdr>
        <w:spacing w:before="300" w:after="100"/>
      </w:pPr>
    </w:p>
    <w:p>
      <w:pPr>
        <w:spacing w:after="60"/>
      </w:pPr>
      <w:r>
        <w:rPr>
          <w:rFonts w:ascii="Arial" w:cs="Arial" w:eastAsia="Arial" w:hAnsi="Arial"/>
          <w:i/>
          <w:iCs/>
          <w:color w:val="5D6D7E"/>
          <w:sz w:val="18"/>
          <w:szCs w:val="18"/>
        </w:rPr>
        <w:t xml:space="preserve">Document prepared as part of the Harbor Point Medical Center Healthcare Analytics Project.</w:t>
      </w:r>
    </w:p>
    <w:p>
      <w:r>
        <w:rPr>
          <w:rFonts w:ascii="Arial" w:cs="Arial" w:eastAsia="Arial" w:hAnsi="Arial"/>
          <w:i/>
          <w:iCs/>
          <w:color w:val="5D6D7E"/>
          <w:sz w:val="18"/>
          <w:szCs w:val="18"/>
        </w:rPr>
        <w:t xml:space="preserve">Data source: Synthea Synthetic Patient Generation (April 2020 Massachusetts Release)</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Healthcare Domain Knowledge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2026-03-30T16:29:04.873Z</dcterms:created>
  <dcterms:modified xsi:type="dcterms:W3CDTF">2026-03-30T16:29:04.873Z</dcterms:modified>
</cp:coreProperties>
</file>

<file path=docProps/custom.xml><?xml version="1.0" encoding="utf-8"?>
<Properties xmlns="http://schemas.openxmlformats.org/officeDocument/2006/custom-properties" xmlns:vt="http://schemas.openxmlformats.org/officeDocument/2006/docPropsVTypes"/>
</file>