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86B"/>
          <w:sz w:val="32"/>
        </w:rPr>
        <w:t>ASL AIRLINES — TECHNICAL IMPLEMENTATION DOCUMENT</w:t>
      </w:r>
    </w:p>
    <w:p>
      <w:pPr>
        <w:jc w:val="center"/>
      </w:pPr>
      <w:r>
        <w:rPr>
          <w:color w:val="C89A00"/>
          <w:sz w:val="22"/>
        </w:rPr>
        <w:t>ADL-1700  |  [APU Health Monitor] Create query for APU Health Monitor in Engine Folder</w:t>
      </w:r>
    </w:p>
    <w:p>
      <w:pPr>
        <w:jc w:val="center"/>
      </w:pPr>
      <w:r>
        <w:rPr>
          <w:color w:val="666666"/>
          <w:sz w:val="18"/>
        </w:rPr>
        <w:t>Prepared: 29 May 2026  |  DnT Infotech - DataLake Team</w:t>
      </w:r>
    </w:p>
    <w:p/>
    <w:p>
      <w:pPr>
        <w:pStyle w:val="Heading1"/>
      </w:pPr>
      <w:r>
        <w:rPr>
          <w:b/>
          <w:color w:val="00386B"/>
        </w:rPr>
        <w:t>1. Project</w:t>
      </w:r>
    </w:p>
    <w:p>
      <w:r>
        <w:rPr>
          <w:b/>
          <w:sz w:val="20"/>
        </w:rPr>
        <w:t xml:space="preserve">Project: </w:t>
      </w:r>
      <w:r>
        <w:rPr>
          <w:sz w:val="20"/>
        </w:rPr>
        <w:t>ASL Airlines — ADL DataLake Integration</w:t>
      </w:r>
    </w:p>
    <w:p/>
    <w:p>
      <w:pPr>
        <w:pStyle w:val="Heading1"/>
      </w:pPr>
      <w:r>
        <w:rPr>
          <w:b/>
          <w:color w:val="00386B"/>
        </w:rPr>
        <w:t>2. Team</w:t>
      </w:r>
    </w:p>
    <w:p>
      <w:r>
        <w:rPr>
          <w:b/>
          <w:sz w:val="20"/>
        </w:rPr>
        <w:t xml:space="preserve">Team: </w:t>
      </w:r>
      <w:r>
        <w:rPr>
          <w:sz w:val="20"/>
        </w:rPr>
        <w:t>DnT Infotech - DataLake Team</w:t>
      </w:r>
    </w:p>
    <w:p/>
    <w:p>
      <w:pPr>
        <w:pStyle w:val="Heading1"/>
      </w:pPr>
      <w:r>
        <w:rPr>
          <w:b/>
          <w:color w:val="00386B"/>
        </w:rPr>
        <w:t>3. Stakeholders</w:t>
      </w:r>
    </w:p>
    <w:p>
      <w:pPr>
        <w:pStyle w:val="ListBullet"/>
        <w:ind w:left="360"/>
      </w:pPr>
      <w:r>
        <w:rPr>
          <w:sz w:val="20"/>
        </w:rPr>
        <w:t>Tony Fourmeau — Technical Lead, ASL Airlines</w:t>
      </w:r>
    </w:p>
    <w:p>
      <w:pPr>
        <w:pStyle w:val="ListBullet"/>
        <w:ind w:left="360"/>
      </w:pPr>
      <w:r>
        <w:rPr>
          <w:sz w:val="20"/>
        </w:rPr>
        <w:t>Suhas Shete — Development Lead, DnT Infotech</w:t>
      </w:r>
    </w:p>
    <w:p/>
    <w:p>
      <w:pPr>
        <w:pStyle w:val="Heading1"/>
      </w:pPr>
      <w:r>
        <w:rPr>
          <w:b/>
          <w:color w:val="00386B"/>
        </w:rPr>
        <w:t>4. Initial Requirements</w:t>
      </w:r>
    </w:p>
    <w:p>
      <w:r>
        <w:rPr>
          <w:sz w:val="20"/>
        </w:rPr>
        <w:t>This implementation delivers a comprehensive APU Health Monitor query that aggregates APU performance data from the AMOS maintenance system for ASL Airlines B737NG aircraft fleet. The solution joins rotables inventory data with rotables_trend performance metrics and aircraft registration data to provide maintenance teams with the latest APU health indicators, trend analysis, and workorder linkage. The VDS will be deployed in the Engine Folder within Dremio, initially against the AMOS Acceptance environment with production connectivity configured at go-live.</w:t>
      </w:r>
    </w:p>
    <w:p/>
    <w:p>
      <w:pPr>
        <w:pStyle w:val="ListBullet"/>
        <w:ind w:left="360"/>
      </w:pPr>
      <w:r>
        <w:rPr>
          <w:sz w:val="20"/>
        </w:rPr>
        <w:t>VDS_APU_Health_Monitor: Provides APU part numbers, serial numbers, PSN identifiers, aircraft registration, latest reference dates, CT5 trend type values, and associated workorder information for all B737NG aircraft APUs</w:t>
      </w:r>
    </w:p>
    <w:p>
      <w:pPr>
        <w:pStyle w:val="ListBullet"/>
        <w:ind w:left="360"/>
      </w:pPr>
      <w:r>
        <w:rPr>
          <w:sz w:val="20"/>
        </w:rPr>
        <w:t>Engine Folder Integration: VDS is created and organized within the Engine Folder structure in Dremio for logical data governance and access control</w:t>
      </w:r>
    </w:p>
    <w:p>
      <w:pPr>
        <w:pStyle w:val="ListBullet"/>
        <w:ind w:left="360"/>
      </w:pPr>
      <w:r>
        <w:rPr>
          <w:sz w:val="20"/>
        </w:rPr>
        <w:t>Trend Analysis Capability: Enables maintenance teams to track APU performance trends (CT5ATP values) over time with the most recent data point for each APU unit</w:t>
      </w:r>
    </w:p>
    <w:p/>
    <w:p>
      <w:pPr>
        <w:pStyle w:val="Heading1"/>
      </w:pPr>
      <w:r>
        <w:rPr>
          <w:b/>
          <w:color w:val="00386B"/>
        </w:rPr>
        <w:t>5. Additional Requirements</w:t>
      </w:r>
    </w:p>
    <w:p>
      <w:pPr>
        <w:pStyle w:val="ListBullet"/>
        <w:ind w:left="360"/>
      </w:pPr>
      <w:r>
        <w:rPr>
          <w:sz w:val="20"/>
        </w:rPr>
        <w:t>For each unique PSN, only the maximum (latest) ref_date from rotables_trend must be selected to avoid duplicate records and ensure current status reporting</w:t>
      </w:r>
    </w:p>
    <w:p>
      <w:pPr>
        <w:pStyle w:val="ListBullet"/>
        <w:ind w:left="360"/>
      </w:pPr>
      <w:r>
        <w:rPr>
          <w:sz w:val="20"/>
        </w:rPr>
        <w:t>Null handling: event_perfno_i (workorder) field may be null for APUs without active workorders; these records must be included with null values preserved</w:t>
      </w:r>
    </w:p>
    <w:p>
      <w:pPr>
        <w:pStyle w:val="ListBullet"/>
        <w:ind w:left="360"/>
      </w:pPr>
      <w:r>
        <w:rPr>
          <w:sz w:val="20"/>
        </w:rPr>
        <w:t>Data quality validation: All PSN values must have corresponding entries in both rotables and rotables_trend tables; orphaned records must be logged and excluded</w:t>
      </w:r>
    </w:p>
    <w:p>
      <w:pPr>
        <w:pStyle w:val="ListBullet"/>
        <w:ind w:left="360"/>
      </w:pPr>
      <w:r>
        <w:rPr>
          <w:sz w:val="20"/>
        </w:rPr>
        <w:t>Performance constraint: Query must complete within 30 seconds for the full B737NG fleet; indexing on PSN, ac_typ, and ref_date fields is required for optimal execution</w:t>
      </w:r>
    </w:p>
    <w:p/>
    <w:p>
      <w:pPr>
        <w:pStyle w:val="Heading1"/>
      </w:pPr>
      <w:r>
        <w:rPr>
          <w:b/>
          <w:color w:val="00386B"/>
        </w:rPr>
        <w:t>6. Risks &amp; Mitigation</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Risk</w:t>
            </w:r>
          </w:p>
        </w:tc>
        <w:tc>
          <w:tcPr>
            <w:tcW w:type="dxa" w:w="4680"/>
            <w:shd w:val="clear" w:color="auto" w:fill="00386B"/>
          </w:tcPr>
          <w:p>
            <w:pPr>
              <w:jc w:val="center"/>
            </w:pPr>
            <w:r/>
            <w:r>
              <w:rPr>
                <w:b/>
                <w:color w:val="FFFFFF"/>
                <w:sz w:val="20"/>
              </w:rPr>
              <w:t>Mitigation</w:t>
            </w:r>
          </w:p>
        </w:tc>
      </w:tr>
      <w:tr>
        <w:tc>
          <w:tcPr>
            <w:tcW w:type="dxa" w:w="4680"/>
          </w:tcPr>
          <w:p>
            <w:r>
              <w:rPr>
                <w:sz w:val="18"/>
              </w:rPr>
              <w:t>Duplicate records if multiple CT5 trend entries exist for the same PSN on the same ref_date</w:t>
            </w:r>
          </w:p>
        </w:tc>
        <w:tc>
          <w:tcPr>
            <w:tcW w:type="dxa" w:w="4680"/>
          </w:tcPr>
          <w:p>
            <w:r>
              <w:rPr>
                <w:sz w:val="18"/>
              </w:rPr>
              <w:t>Apply ROW_NUMBER() OVER (PARTITION BY PSN ORDER BY ref_date DESC, rotables_trend_id DESC) to ensure single record per APU; filter for rank = 1</w:t>
            </w:r>
          </w:p>
        </w:tc>
      </w:tr>
      <w:tr>
        <w:tc>
          <w:tcPr>
            <w:tcW w:type="dxa" w:w="4680"/>
          </w:tcPr>
          <w:p>
            <w:r>
              <w:rPr>
                <w:sz w:val="18"/>
              </w:rPr>
              <w:t>Data type mismatch between rotables.psn and rotables_trend.rt_psn if one is numeric and other is string</w:t>
            </w:r>
          </w:p>
        </w:tc>
        <w:tc>
          <w:tcPr>
            <w:tcW w:type="dxa" w:w="4680"/>
          </w:tcPr>
          <w:p>
            <w:r>
              <w:rPr>
                <w:sz w:val="18"/>
              </w:rPr>
              <w:t>Cast both fields to VARCHAR during join; validate data types in source schema before deployment and document any type conversions in the VDS definition</w:t>
            </w:r>
          </w:p>
        </w:tc>
      </w:tr>
      <w:tr>
        <w:tc>
          <w:tcPr>
            <w:tcW w:type="dxa" w:w="4680"/>
          </w:tcPr>
          <w:p>
            <w:r>
              <w:rPr>
                <w:sz w:val="18"/>
              </w:rPr>
              <w:t>Performance degradation if rotables_trend table contains millions of historical records without proper indexing</w:t>
            </w:r>
          </w:p>
        </w:tc>
        <w:tc>
          <w:tcPr>
            <w:tcW w:type="dxa" w:w="4680"/>
          </w:tcPr>
          <w:p>
            <w:r>
              <w:rPr>
                <w:sz w:val="18"/>
              </w:rPr>
              <w:t>Coordinate with AMOS database team to ensure indexes on (psn, ref_date, trend_type); consider partitioning rotables_trend by ref_date if table exceeds 100M rows</w:t>
            </w:r>
          </w:p>
        </w:tc>
      </w:tr>
    </w:tbl>
    <w:p/>
    <w:p>
      <w:pPr>
        <w:pStyle w:val="Heading1"/>
      </w:pPr>
      <w:r>
        <w:rPr>
          <w:b/>
          <w:color w:val="00386B"/>
        </w:rPr>
        <w:t>7. Process Continuity</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Issue</w:t>
            </w:r>
          </w:p>
        </w:tc>
        <w:tc>
          <w:tcPr>
            <w:tcW w:type="dxa" w:w="4680"/>
            <w:shd w:val="clear" w:color="auto" w:fill="00386B"/>
          </w:tcPr>
          <w:p>
            <w:pPr>
              <w:jc w:val="center"/>
            </w:pPr>
            <w:r/>
            <w:r>
              <w:rPr>
                <w:b/>
                <w:color w:val="FFFFFF"/>
                <w:sz w:val="20"/>
              </w:rPr>
              <w:t>Mitigation</w:t>
            </w:r>
          </w:p>
        </w:tc>
      </w:tr>
      <w:tr>
        <w:tc>
          <w:tcPr>
            <w:tcW w:type="dxa" w:w="4680"/>
          </w:tcPr>
          <w:p>
            <w:r>
              <w:rPr>
                <w:sz w:val="18"/>
              </w:rPr>
              <w:t>Source table rotables_trend contains no CT5 records for a specific APU PSN</w:t>
            </w:r>
          </w:p>
        </w:tc>
        <w:tc>
          <w:tcPr>
            <w:tcW w:type="dxa" w:w="4680"/>
          </w:tcPr>
          <w:p>
            <w:r>
              <w:rPr>
                <w:sz w:val="18"/>
              </w:rPr>
              <w:t>APU will not appear in VDS output; implement monitoring alert if expected APUs are missing; provide daily reconciliation report comparing rotables count to VDS output count</w:t>
            </w:r>
          </w:p>
        </w:tc>
      </w:tr>
      <w:tr>
        <w:tc>
          <w:tcPr>
            <w:tcW w:type="dxa" w:w="4680"/>
          </w:tcPr>
          <w:p>
            <w:r>
              <w:rPr>
                <w:sz w:val="18"/>
              </w:rPr>
              <w:t>VDS becomes unavailable due to Dremio service interruption</w:t>
            </w:r>
          </w:p>
        </w:tc>
        <w:tc>
          <w:tcPr>
            <w:tcW w:type="dxa" w:w="4680"/>
          </w:tcPr>
          <w:p>
            <w:r>
              <w:rPr>
                <w:sz w:val="18"/>
              </w:rPr>
              <w:t>Maintain read-only backup query script in version control; establish SLA of 99.5% availability with 4-hour RTO; implement automated failover to AMOS direct query if VDS latency exceeds 60 seconds</w:t>
            </w:r>
          </w:p>
        </w:tc>
      </w:tr>
    </w:tbl>
    <w:p/>
    <w:p>
      <w:pPr>
        <w:pStyle w:val="Heading1"/>
      </w:pPr>
      <w:r>
        <w:rPr>
          <w:b/>
          <w:color w:val="00386B"/>
        </w:rPr>
        <w:t>8. Implementation</w:t>
      </w:r>
    </w:p>
    <w:p>
      <w:pPr>
        <w:pStyle w:val="Heading2"/>
      </w:pPr>
      <w:r>
        <w:rPr>
          <w:b/>
          <w:color w:val="1A1A1A"/>
        </w:rPr>
        <w:t>8.1  Data Sources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Table Name</w:t>
            </w:r>
          </w:p>
        </w:tc>
        <w:tc>
          <w:tcPr>
            <w:tcW w:type="dxa" w:w="3120"/>
            <w:shd w:val="clear" w:color="auto" w:fill="00386B"/>
          </w:tcPr>
          <w:p>
            <w:pPr>
              <w:jc w:val="center"/>
            </w:pPr>
            <w:r/>
            <w:r>
              <w:rPr>
                <w:b/>
                <w:color w:val="FFFFFF"/>
                <w:sz w:val="20"/>
              </w:rPr>
              <w:t>Full Path</w:t>
            </w:r>
          </w:p>
        </w:tc>
        <w:tc>
          <w:tcPr>
            <w:tcW w:type="dxa" w:w="3120"/>
            <w:shd w:val="clear" w:color="auto" w:fill="00386B"/>
          </w:tcPr>
          <w:p>
            <w:pPr>
              <w:jc w:val="center"/>
            </w:pPr>
            <w:r/>
            <w:r>
              <w:rPr>
                <w:b/>
                <w:color w:val="FFFFFF"/>
                <w:sz w:val="20"/>
              </w:rPr>
              <w:t>Description</w:t>
            </w:r>
          </w:p>
        </w:tc>
      </w:tr>
      <w:tr>
        <w:tc>
          <w:tcPr>
            <w:tcW w:type="dxa" w:w="3120"/>
          </w:tcPr>
          <w:p>
            <w:r>
              <w:rPr>
                <w:sz w:val="18"/>
              </w:rPr>
              <w:t>rotables</w:t>
            </w:r>
          </w:p>
        </w:tc>
        <w:tc>
          <w:tcPr>
            <w:tcW w:type="dxa" w:w="3120"/>
          </w:tcPr>
          <w:p>
            <w:r>
              <w:rPr>
                <w:sz w:val="18"/>
              </w:rPr>
              <w:t>amos_postgres.amos.rotables</w:t>
            </w:r>
          </w:p>
        </w:tc>
        <w:tc>
          <w:tcPr>
            <w:tcW w:type="dxa" w:w="3120"/>
          </w:tcPr>
          <w:p>
            <w:r>
              <w:rPr>
                <w:sz w:val="18"/>
              </w:rPr>
              <w:t>Contains APU inventory records with part numbers, serial numbers, and PSN identifiers for all rotable components fitted to ASL aircraft</w:t>
            </w:r>
          </w:p>
        </w:tc>
      </w:tr>
      <w:tr>
        <w:tc>
          <w:tcPr>
            <w:tcW w:type="dxa" w:w="3120"/>
          </w:tcPr>
          <w:p>
            <w:r>
              <w:rPr>
                <w:sz w:val="18"/>
              </w:rPr>
              <w:t>rotables_trend</w:t>
            </w:r>
          </w:p>
        </w:tc>
        <w:tc>
          <w:tcPr>
            <w:tcW w:type="dxa" w:w="3120"/>
          </w:tcPr>
          <w:p>
            <w:r>
              <w:rPr>
                <w:sz w:val="18"/>
              </w:rPr>
              <w:t>amos_postgres.amos.rotables_trend</w:t>
            </w:r>
          </w:p>
        </w:tc>
        <w:tc>
          <w:tcPr>
            <w:tcW w:type="dxa" w:w="3120"/>
          </w:tcPr>
          <w:p>
            <w:r>
              <w:rPr>
                <w:sz w:val="18"/>
              </w:rPr>
              <w:t>Contains historical trend data for rotable components including reference dates, trend types (CT5), CT5ATP values, and associated workorder information</w:t>
            </w:r>
          </w:p>
        </w:tc>
      </w:tr>
      <w:tr>
        <w:tc>
          <w:tcPr>
            <w:tcW w:type="dxa" w:w="3120"/>
          </w:tcPr>
          <w:p>
            <w:r>
              <w:rPr>
                <w:sz w:val="18"/>
              </w:rPr>
              <w:t>aircraft</w:t>
            </w:r>
          </w:p>
        </w:tc>
        <w:tc>
          <w:tcPr>
            <w:tcW w:type="dxa" w:w="3120"/>
          </w:tcPr>
          <w:p>
            <w:r>
              <w:rPr>
                <w:sz w:val="18"/>
              </w:rPr>
              <w:t>amos_postgres.amos.aircraft</w:t>
            </w:r>
          </w:p>
        </w:tc>
        <w:tc>
          <w:tcPr>
            <w:tcW w:type="dxa" w:w="3120"/>
          </w:tcPr>
          <w:p>
            <w:r>
              <w:rPr>
                <w:sz w:val="18"/>
              </w:rPr>
              <w:t>Contains aircraft master data including registration numbers and aircraft type codes (ac_typ) for all ASL fleet aircraft</w:t>
            </w:r>
          </w:p>
        </w:tc>
      </w:tr>
    </w:tbl>
    <w:p/>
    <w:p>
      <w:pPr>
        <w:pStyle w:val="Heading2"/>
      </w:pPr>
      <w:r>
        <w:rPr>
          <w:b/>
          <w:color w:val="1A1A1A"/>
        </w:rPr>
        <w:t>8.2  Interface Process</w:t>
      </w:r>
    </w:p>
    <w:p>
      <w:pPr>
        <w:pStyle w:val="Heading3"/>
      </w:pPr>
      <w:r>
        <w:rPr>
          <w:b/>
          <w:color w:val="1A1A1A"/>
        </w:rPr>
        <w:t>VDS_APU_Health_Monitor</w:t>
      </w:r>
    </w:p>
    <w:p>
      <w:pPr>
        <w:pStyle w:val="ListBullet"/>
        <w:ind w:left="360"/>
      </w:pPr>
      <w:r>
        <w:rPr>
          <w:sz w:val="20"/>
        </w:rPr>
        <w:t>Step 1 — Source Selection: Select partno, serialno, psn from amos.rotables table; select rt_psn, ref_date, trend_type, event_perfno_i, value from amos.rotables_trend table</w:t>
      </w:r>
    </w:p>
    <w:p>
      <w:pPr>
        <w:pStyle w:val="ListBullet"/>
        <w:ind w:left="360"/>
      </w:pPr>
      <w:r>
        <w:rPr>
          <w:sz w:val="20"/>
        </w:rPr>
        <w:t>Step 2 — Primary Join: Inner join rotables to rotables_trend on rotables.psn = rotables_trend.rt_psn to correlate APU inventory with performance trend data</w:t>
      </w:r>
    </w:p>
    <w:p>
      <w:pPr>
        <w:pStyle w:val="ListBullet"/>
        <w:ind w:left="360"/>
      </w:pPr>
      <w:r>
        <w:rPr>
          <w:sz w:val="20"/>
        </w:rPr>
        <w:t>Step 3 — Aircraft Join: Inner join result to amos.aircraft on rotables.ac_registr = aircraft.ac_registr to obtain aircraft type (ac_typ) for filtering</w:t>
      </w:r>
    </w:p>
    <w:p>
      <w:pPr>
        <w:pStyle w:val="ListBullet"/>
        <w:ind w:left="360"/>
      </w:pPr>
      <w:r>
        <w:rPr>
          <w:sz w:val="20"/>
        </w:rPr>
        <w:t>Step 4 — Deduplication: Apply window function ROW_NUMBER() OVER (PARTITION BY rotables.psn ORDER BY rotables_trend.ref_date DESC) and filter for rank = 1 to select only the latest reference date per APU</w:t>
      </w:r>
    </w:p>
    <w:p>
      <w:pPr>
        <w:pStyle w:val="ListBullet"/>
        <w:ind w:left="360"/>
      </w:pPr>
      <w:r>
        <w:rPr>
          <w:sz w:val="20"/>
        </w:rPr>
        <w:t>Step 5 — Filtering: Apply WHERE clause filters: aircraft.ac_typ = 'B737NG' AND rotables_trend.trend_type = 'CT5' to restrict output to B737NG aircraft with CT5 trend records only</w:t>
      </w:r>
    </w:p>
    <w:p>
      <w:pPr>
        <w:pStyle w:val="ListBullet"/>
        <w:ind w:left="360"/>
      </w:pPr>
      <w:r>
        <w:rPr>
          <w:sz w:val="20"/>
        </w:rPr>
        <w:t>Step 6 — Field Projection: Select and alias output fields: partno, serialno, psn, ac_registr, rt_psn, ref_date, trend_type, event_perfno_i, value, ac_typ in final result set</w:t>
      </w:r>
    </w:p>
    <w:p/>
    <w:p>
      <w:pPr>
        <w:pStyle w:val="Heading1"/>
      </w:pPr>
      <w:r>
        <w:rPr>
          <w:b/>
          <w:color w:val="00386B"/>
        </w:rPr>
        <w:t>9.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Dremio Field</w:t>
            </w:r>
          </w:p>
        </w:tc>
        <w:tc>
          <w:tcPr>
            <w:tcW w:type="dxa" w:w="3120"/>
            <w:shd w:val="clear" w:color="auto" w:fill="00386B"/>
          </w:tcPr>
          <w:p>
            <w:pPr>
              <w:jc w:val="center"/>
            </w:pPr>
            <w:r/>
            <w:r>
              <w:rPr>
                <w:b/>
                <w:color w:val="FFFFFF"/>
                <w:sz w:val="20"/>
              </w:rPr>
              <w:t>Source Field</w:t>
            </w:r>
          </w:p>
        </w:tc>
        <w:tc>
          <w:tcPr>
            <w:tcW w:type="dxa" w:w="3120"/>
            <w:shd w:val="clear" w:color="auto" w:fill="00386B"/>
          </w:tcPr>
          <w:p>
            <w:pPr>
              <w:jc w:val="center"/>
            </w:pPr>
            <w:r/>
            <w:r>
              <w:rPr>
                <w:b/>
                <w:color w:val="FFFFFF"/>
                <w:sz w:val="20"/>
              </w:rPr>
              <w:t>Logic / Derivation</w:t>
            </w:r>
          </w:p>
        </w:tc>
      </w:tr>
      <w:tr>
        <w:tc>
          <w:tcPr>
            <w:tcW w:type="dxa" w:w="3120"/>
          </w:tcPr>
          <w:p>
            <w:r>
              <w:rPr>
                <w:sz w:val="18"/>
              </w:rPr>
              <w:t>partno</w:t>
            </w:r>
          </w:p>
        </w:tc>
        <w:tc>
          <w:tcPr>
            <w:tcW w:type="dxa" w:w="3120"/>
          </w:tcPr>
          <w:p>
            <w:r>
              <w:rPr>
                <w:sz w:val="18"/>
              </w:rPr>
              <w:t>amos.rotables.partno</w:t>
            </w:r>
          </w:p>
        </w:tc>
        <w:tc>
          <w:tcPr>
            <w:tcW w:type="dxa" w:w="3120"/>
          </w:tcPr>
          <w:p>
            <w:r>
              <w:rPr>
                <w:sz w:val="18"/>
              </w:rPr>
              <w:t>Direct pass-through from rotables table; represents the APU part number as assigned by manufacturer</w:t>
            </w:r>
          </w:p>
        </w:tc>
      </w:tr>
      <w:tr>
        <w:tc>
          <w:tcPr>
            <w:tcW w:type="dxa" w:w="3120"/>
          </w:tcPr>
          <w:p>
            <w:r>
              <w:rPr>
                <w:sz w:val="18"/>
              </w:rPr>
              <w:t>serialno</w:t>
            </w:r>
          </w:p>
        </w:tc>
        <w:tc>
          <w:tcPr>
            <w:tcW w:type="dxa" w:w="3120"/>
          </w:tcPr>
          <w:p>
            <w:r>
              <w:rPr>
                <w:sz w:val="18"/>
              </w:rPr>
              <w:t>amos.rotables.serialno</w:t>
            </w:r>
          </w:p>
        </w:tc>
        <w:tc>
          <w:tcPr>
            <w:tcW w:type="dxa" w:w="3120"/>
          </w:tcPr>
          <w:p>
            <w:r>
              <w:rPr>
                <w:sz w:val="18"/>
              </w:rPr>
              <w:t>Direct pass-through from rotables table; represents the unique serial number of the APU unit</w:t>
            </w:r>
          </w:p>
        </w:tc>
      </w:tr>
      <w:tr>
        <w:tc>
          <w:tcPr>
            <w:tcW w:type="dxa" w:w="3120"/>
          </w:tcPr>
          <w:p>
            <w:r>
              <w:rPr>
                <w:sz w:val="18"/>
              </w:rPr>
              <w:t>psn</w:t>
            </w:r>
          </w:p>
        </w:tc>
        <w:tc>
          <w:tcPr>
            <w:tcW w:type="dxa" w:w="3120"/>
          </w:tcPr>
          <w:p>
            <w:r>
              <w:rPr>
                <w:sz w:val="18"/>
              </w:rPr>
              <w:t>amos.rotables.psn</w:t>
            </w:r>
          </w:p>
        </w:tc>
        <w:tc>
          <w:tcPr>
            <w:tcW w:type="dxa" w:w="3120"/>
          </w:tcPr>
          <w:p>
            <w:r>
              <w:rPr>
                <w:sz w:val="18"/>
              </w:rPr>
              <w:t>Direct pass-through from rotables table; represents the unique Part Serial Number identifier used as primary join key</w:t>
            </w:r>
          </w:p>
        </w:tc>
      </w:tr>
      <w:tr>
        <w:tc>
          <w:tcPr>
            <w:tcW w:type="dxa" w:w="3120"/>
          </w:tcPr>
          <w:p>
            <w:r>
              <w:rPr>
                <w:sz w:val="18"/>
              </w:rPr>
              <w:t>ac_registr</w:t>
            </w:r>
          </w:p>
        </w:tc>
        <w:tc>
          <w:tcPr>
            <w:tcW w:type="dxa" w:w="3120"/>
          </w:tcPr>
          <w:p>
            <w:r>
              <w:rPr>
                <w:sz w:val="18"/>
              </w:rPr>
              <w:t>amos.rotables.ac_registr</w:t>
            </w:r>
          </w:p>
        </w:tc>
        <w:tc>
          <w:tcPr>
            <w:tcW w:type="dxa" w:w="3120"/>
          </w:tcPr>
          <w:p>
            <w:r>
              <w:rPr>
                <w:sz w:val="18"/>
              </w:rPr>
              <w:t>Direct pass-through from rotables table; represents the aircraft registration number to which the APU is fitted</w:t>
            </w:r>
          </w:p>
        </w:tc>
      </w:tr>
      <w:tr>
        <w:tc>
          <w:tcPr>
            <w:tcW w:type="dxa" w:w="3120"/>
          </w:tcPr>
          <w:p>
            <w:r>
              <w:rPr>
                <w:sz w:val="18"/>
              </w:rPr>
              <w:t>rt_psn</w:t>
            </w:r>
          </w:p>
        </w:tc>
        <w:tc>
          <w:tcPr>
            <w:tcW w:type="dxa" w:w="3120"/>
          </w:tcPr>
          <w:p>
            <w:r>
              <w:rPr>
                <w:sz w:val="18"/>
              </w:rPr>
              <w:t>amos.rotables_trend.rt_psn</w:t>
            </w:r>
          </w:p>
        </w:tc>
        <w:tc>
          <w:tcPr>
            <w:tcW w:type="dxa" w:w="3120"/>
          </w:tcPr>
          <w:p>
            <w:r>
              <w:rPr>
                <w:sz w:val="18"/>
              </w:rPr>
              <w:t>Direct pass-through from rotables_trend table; represents the PSN identifier in the trend table used for join validation</w:t>
            </w:r>
          </w:p>
        </w:tc>
      </w:tr>
      <w:tr>
        <w:tc>
          <w:tcPr>
            <w:tcW w:type="dxa" w:w="3120"/>
          </w:tcPr>
          <w:p>
            <w:r>
              <w:rPr>
                <w:sz w:val="18"/>
              </w:rPr>
              <w:t>ref_date</w:t>
            </w:r>
          </w:p>
        </w:tc>
        <w:tc>
          <w:tcPr>
            <w:tcW w:type="dxa" w:w="3120"/>
          </w:tcPr>
          <w:p>
            <w:r>
              <w:rPr>
                <w:sz w:val="18"/>
              </w:rPr>
              <w:t>amos.rotables_trend.ref_date</w:t>
            </w:r>
          </w:p>
        </w:tc>
        <w:tc>
          <w:tcPr>
            <w:tcW w:type="dxa" w:w="3120"/>
          </w:tcPr>
          <w:p>
            <w:r>
              <w:rPr>
                <w:sz w:val="18"/>
              </w:rPr>
              <w:t>Direct pass-through from rotables_trend table; represents the reference date of the trend record; filtered to maximum date per PSN using ROW_NUMBER() window function</w:t>
            </w:r>
          </w:p>
        </w:tc>
      </w:tr>
      <w:tr>
        <w:tc>
          <w:tcPr>
            <w:tcW w:type="dxa" w:w="3120"/>
          </w:tcPr>
          <w:p>
            <w:r>
              <w:rPr>
                <w:sz w:val="18"/>
              </w:rPr>
              <w:t>trend_type</w:t>
            </w:r>
          </w:p>
        </w:tc>
        <w:tc>
          <w:tcPr>
            <w:tcW w:type="dxa" w:w="3120"/>
          </w:tcPr>
          <w:p>
            <w:r>
              <w:rPr>
                <w:sz w:val="18"/>
              </w:rPr>
              <w:t>amos.rotables_trend.trend_type</w:t>
            </w:r>
          </w:p>
        </w:tc>
        <w:tc>
          <w:tcPr>
            <w:tcW w:type="dxa" w:w="3120"/>
          </w:tcPr>
          <w:p>
            <w:r>
              <w:rPr>
                <w:sz w:val="18"/>
              </w:rPr>
              <w:t>Direct pass-through from rotables_trend table; filtered to include only 'CT5' values in WHERE clause</w:t>
            </w:r>
          </w:p>
        </w:tc>
      </w:tr>
      <w:tr>
        <w:tc>
          <w:tcPr>
            <w:tcW w:type="dxa" w:w="3120"/>
          </w:tcPr>
          <w:p>
            <w:r>
              <w:rPr>
                <w:sz w:val="18"/>
              </w:rPr>
              <w:t>event_perfno_i</w:t>
            </w:r>
          </w:p>
        </w:tc>
        <w:tc>
          <w:tcPr>
            <w:tcW w:type="dxa" w:w="3120"/>
          </w:tcPr>
          <w:p>
            <w:r>
              <w:rPr>
                <w:sz w:val="18"/>
              </w:rPr>
              <w:t>amos.rotables_trend.event_perfno_i</w:t>
            </w:r>
          </w:p>
        </w:tc>
        <w:tc>
          <w:tcPr>
            <w:tcW w:type="dxa" w:w="3120"/>
          </w:tcPr>
          <w:p>
            <w:r>
              <w:rPr>
                <w:sz w:val="18"/>
              </w:rPr>
              <w:t>Direct pass-through from rotables_trend table; represents the workorder number if present; null values are preserved for APUs without active workorders</w:t>
            </w:r>
          </w:p>
        </w:tc>
      </w:tr>
      <w:tr>
        <w:tc>
          <w:tcPr>
            <w:tcW w:type="dxa" w:w="3120"/>
          </w:tcPr>
          <w:p>
            <w:r>
              <w:rPr>
                <w:sz w:val="18"/>
              </w:rPr>
              <w:t>value</w:t>
            </w:r>
          </w:p>
        </w:tc>
        <w:tc>
          <w:tcPr>
            <w:tcW w:type="dxa" w:w="3120"/>
          </w:tcPr>
          <w:p>
            <w:r>
              <w:rPr>
                <w:sz w:val="18"/>
              </w:rPr>
              <w:t>amos.rotables_trend.value</w:t>
            </w:r>
          </w:p>
        </w:tc>
        <w:tc>
          <w:tcPr>
            <w:tcW w:type="dxa" w:w="3120"/>
          </w:tcPr>
          <w:p>
            <w:r>
              <w:rPr>
                <w:sz w:val="18"/>
              </w:rPr>
              <w:t>Direct pass-through from rotables_trend table; represents the CT5ATP value (APU performance metric) for the trend record</w:t>
            </w:r>
          </w:p>
        </w:tc>
      </w:tr>
      <w:tr>
        <w:tc>
          <w:tcPr>
            <w:tcW w:type="dxa" w:w="3120"/>
          </w:tcPr>
          <w:p>
            <w:r>
              <w:rPr>
                <w:sz w:val="18"/>
              </w:rPr>
              <w:t>ac_typ</w:t>
            </w:r>
          </w:p>
        </w:tc>
        <w:tc>
          <w:tcPr>
            <w:tcW w:type="dxa" w:w="3120"/>
          </w:tcPr>
          <w:p>
            <w:r>
              <w:rPr>
                <w:sz w:val="18"/>
              </w:rPr>
              <w:t>amos.aircraft.ac_typ</w:t>
            </w:r>
          </w:p>
        </w:tc>
        <w:tc>
          <w:tcPr>
            <w:tcW w:type="dxa" w:w="3120"/>
          </w:tcPr>
          <w:p>
            <w:r>
              <w:rPr>
                <w:sz w:val="18"/>
              </w:rPr>
              <w:t>Direct pass-through from aircraft table; filtered to include only 'B737NG' values in WHERE clause to restrict output to specified aircraft type</w:t>
            </w:r>
          </w:p>
        </w:tc>
      </w:tr>
    </w:tbl>
    <w:p/>
    <w:p>
      <w:pPr>
        <w:pStyle w:val="Heading1"/>
      </w:pPr>
      <w:r>
        <w:rPr>
          <w:b/>
          <w:color w:val="00386B"/>
        </w:rPr>
        <w:t>10. Milestones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Milestone</w:t>
            </w:r>
          </w:p>
        </w:tc>
        <w:tc>
          <w:tcPr>
            <w:tcW w:type="dxa" w:w="4680"/>
            <w:shd w:val="clear" w:color="auto" w:fill="00386B"/>
          </w:tcPr>
          <w:p>
            <w:pPr>
              <w:jc w:val="center"/>
            </w:pPr>
            <w:r/>
            <w:r>
              <w:rPr>
                <w:b/>
                <w:color w:val="FFFFFF"/>
                <w:sz w:val="20"/>
              </w:rPr>
              <w:t>Days</w:t>
            </w:r>
          </w:p>
        </w:tc>
      </w:tr>
      <w:tr>
        <w:tc>
          <w:tcPr>
            <w:tcW w:type="dxa" w:w="4680"/>
          </w:tcPr>
          <w:p>
            <w:r>
              <w:rPr>
                <w:sz w:val="18"/>
              </w:rPr>
              <w:t>Requirements review and sign-off</w:t>
            </w:r>
          </w:p>
        </w:tc>
        <w:tc>
          <w:tcPr>
            <w:tcW w:type="dxa" w:w="4680"/>
          </w:tcPr>
          <w:p>
            <w:r>
              <w:rPr>
                <w:sz w:val="18"/>
              </w:rPr>
              <w:t>1</w:t>
            </w:r>
          </w:p>
        </w:tc>
      </w:tr>
      <w:tr>
        <w:tc>
          <w:tcPr>
            <w:tcW w:type="dxa" w:w="4680"/>
          </w:tcPr>
          <w:p>
            <w:r>
              <w:rPr>
                <w:sz w:val="18"/>
              </w:rPr>
              <w:t>VDS development and unit testing</w:t>
            </w:r>
          </w:p>
        </w:tc>
        <w:tc>
          <w:tcPr>
            <w:tcW w:type="dxa" w:w="4680"/>
          </w:tcPr>
          <w:p>
            <w:r>
              <w:rPr>
                <w:sz w:val="18"/>
              </w:rPr>
              <w:t>4</w:t>
            </w:r>
          </w:p>
        </w:tc>
      </w:tr>
      <w:tr>
        <w:tc>
          <w:tcPr>
            <w:tcW w:type="dxa" w:w="4680"/>
          </w:tcPr>
          <w:p>
            <w:r>
              <w:rPr>
                <w:sz w:val="18"/>
              </w:rPr>
              <w:t>Data validation against source and reconciliation</w:t>
            </w:r>
          </w:p>
        </w:tc>
        <w:tc>
          <w:tcPr>
            <w:tcW w:type="dxa" w:w="4680"/>
          </w:tcPr>
          <w:p>
            <w:r>
              <w:rPr>
                <w:sz w:val="18"/>
              </w:rPr>
              <w:t>2</w:t>
            </w:r>
          </w:p>
        </w:tc>
      </w:tr>
      <w:tr>
        <w:tc>
          <w:tcPr>
            <w:tcW w:type="dxa" w:w="4680"/>
          </w:tcPr>
          <w:p>
            <w:r>
              <w:rPr>
                <w:sz w:val="18"/>
              </w:rPr>
              <w:t>UAT and stakeholder review</w:t>
            </w:r>
          </w:p>
        </w:tc>
        <w:tc>
          <w:tcPr>
            <w:tcW w:type="dxa" w:w="4680"/>
          </w:tcPr>
          <w:p>
            <w:r>
              <w:rPr>
                <w:sz w:val="18"/>
              </w:rPr>
              <w:t>3</w:t>
            </w:r>
          </w:p>
        </w:tc>
      </w:tr>
      <w:tr>
        <w:tc>
          <w:tcPr>
            <w:tcW w:type="dxa" w:w="4680"/>
          </w:tcPr>
          <w:p>
            <w:r>
              <w:rPr>
                <w:sz w:val="18"/>
              </w:rPr>
              <w:t>Production deployment and go-live</w:t>
            </w:r>
          </w:p>
        </w:tc>
        <w:tc>
          <w:tcPr>
            <w:tcW w:type="dxa" w:w="4680"/>
          </w:tcPr>
          <w:p>
            <w:r>
              <w:rPr>
                <w:sz w:val="18"/>
              </w:rPr>
              <w:t>1</w:t>
            </w:r>
          </w:p>
        </w:tc>
      </w:tr>
    </w:tbl>
    <w:p/>
    <w:p>
      <w:pPr>
        <w:pStyle w:val="Heading1"/>
      </w:pPr>
      <w:r>
        <w:rPr>
          <w:b/>
          <w:color w:val="00386B"/>
        </w:rPr>
        <w:t>11. Reference</w:t>
      </w:r>
    </w:p>
    <w:p>
      <w:pPr>
        <w:pStyle w:val="Heading2"/>
      </w:pPr>
      <w:r>
        <w:rPr>
          <w:b/>
          <w:color w:val="1A1A1A"/>
        </w:rPr>
        <w:t>11.1  VDS Source Tables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Table Name</w:t>
            </w:r>
          </w:p>
        </w:tc>
        <w:tc>
          <w:tcPr>
            <w:tcW w:type="dxa" w:w="4680"/>
            <w:shd w:val="clear" w:color="auto" w:fill="00386B"/>
          </w:tcPr>
          <w:p>
            <w:pPr>
              <w:jc w:val="center"/>
            </w:pPr>
            <w:r/>
            <w:r>
              <w:rPr>
                <w:b/>
                <w:color w:val="FFFFFF"/>
                <w:sz w:val="20"/>
              </w:rPr>
              <w:t>Full Path</w:t>
            </w:r>
          </w:p>
        </w:tc>
      </w:tr>
      <w:tr>
        <w:tc>
          <w:tcPr>
            <w:tcW w:type="dxa" w:w="4680"/>
          </w:tcPr>
          <w:p>
            <w:r>
              <w:rPr>
                <w:sz w:val="18"/>
              </w:rPr>
              <w:t>rotables</w:t>
            </w:r>
          </w:p>
        </w:tc>
        <w:tc>
          <w:tcPr>
            <w:tcW w:type="dxa" w:w="4680"/>
          </w:tcPr>
          <w:p>
            <w:r>
              <w:rPr>
                <w:sz w:val="18"/>
              </w:rPr>
              <w:t>amos_postgres.amos.rotables</w:t>
            </w:r>
          </w:p>
        </w:tc>
      </w:tr>
      <w:tr>
        <w:tc>
          <w:tcPr>
            <w:tcW w:type="dxa" w:w="4680"/>
          </w:tcPr>
          <w:p>
            <w:r>
              <w:rPr>
                <w:sz w:val="18"/>
              </w:rPr>
              <w:t>rotables_trend</w:t>
            </w:r>
          </w:p>
        </w:tc>
        <w:tc>
          <w:tcPr>
            <w:tcW w:type="dxa" w:w="4680"/>
          </w:tcPr>
          <w:p>
            <w:r>
              <w:rPr>
                <w:sz w:val="18"/>
              </w:rPr>
              <w:t>amos_postgres.amos.rotables_trend</w:t>
            </w:r>
          </w:p>
        </w:tc>
      </w:tr>
      <w:tr>
        <w:tc>
          <w:tcPr>
            <w:tcW w:type="dxa" w:w="4680"/>
          </w:tcPr>
          <w:p>
            <w:r>
              <w:rPr>
                <w:sz w:val="18"/>
              </w:rPr>
              <w:t>aircraft</w:t>
            </w:r>
          </w:p>
        </w:tc>
        <w:tc>
          <w:tcPr>
            <w:tcW w:type="dxa" w:w="4680"/>
          </w:tcPr>
          <w:p>
            <w:r>
              <w:rPr>
                <w:sz w:val="18"/>
              </w:rPr>
              <w:t>amos_postgres.amos.aircraft</w:t>
            </w:r>
          </w:p>
        </w:tc>
      </w:tr>
    </w:tbl>
    <w:p/>
    <w:p>
      <w:pPr>
        <w:pStyle w:val="Heading2"/>
      </w:pPr>
      <w:r>
        <w:rPr>
          <w:b/>
          <w:color w:val="1A1A1A"/>
        </w:rPr>
        <w:t>11.2  VDS Output Paths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VDS Name</w:t>
            </w:r>
          </w:p>
        </w:tc>
        <w:tc>
          <w:tcPr>
            <w:tcW w:type="dxa" w:w="4680"/>
            <w:shd w:val="clear" w:color="auto" w:fill="00386B"/>
          </w:tcPr>
          <w:p>
            <w:pPr>
              <w:jc w:val="center"/>
            </w:pPr>
            <w:r/>
            <w:r>
              <w:rPr>
                <w:b/>
                <w:color w:val="FFFFFF"/>
                <w:sz w:val="20"/>
              </w:rPr>
              <w:t>Full Dremio Path</w:t>
            </w:r>
          </w:p>
        </w:tc>
      </w:tr>
      <w:tr>
        <w:tc>
          <w:tcPr>
            <w:tcW w:type="dxa" w:w="4680"/>
          </w:tcPr>
          <w:p>
            <w:r>
              <w:rPr>
                <w:sz w:val="18"/>
              </w:rPr>
              <w:t>VDS_APU_Health_Monitor</w:t>
            </w:r>
          </w:p>
        </w:tc>
        <w:tc>
          <w:tcPr>
            <w:tcW w:type="dxa" w:w="4680"/>
          </w:tcPr>
          <w:p>
            <w:r>
              <w:rPr>
                <w:sz w:val="18"/>
              </w:rPr>
              <w:t>dremio-db.Engine_Folder.VDS_APU_Health_Monitor</w:t>
            </w:r>
          </w:p>
        </w:tc>
      </w:tr>
    </w:tbl>
    <w:p/>
    <w:p>
      <w:pPr>
        <w:pStyle w:val="Heading2"/>
      </w:pPr>
      <w:r>
        <w:rPr>
          <w:b/>
          <w:color w:val="1A1A1A"/>
        </w:rPr>
        <w:t>11.3  Key Business Rules</w:t>
      </w:r>
    </w:p>
    <w:p>
      <w:pPr>
        <w:pStyle w:val="ListBullet"/>
        <w:ind w:left="360"/>
      </w:pPr>
      <w:r>
        <w:rPr>
          <w:sz w:val="20"/>
        </w:rPr>
        <w:t>Only B737NG aircraft type is included in output; all other aircraft types are excluded via WHERE clause filter on amos.aircraft.ac_typ</w:t>
      </w:r>
    </w:p>
    <w:p>
      <w:pPr>
        <w:pStyle w:val="ListBullet"/>
        <w:ind w:left="360"/>
      </w:pPr>
      <w:r>
        <w:rPr>
          <w:sz w:val="20"/>
        </w:rPr>
        <w:t>Only CT5 trend type records are included; other trend types are excluded via WHERE clause filter on amos.rotables_trend.trend_type</w:t>
      </w:r>
    </w:p>
    <w:p>
      <w:pPr>
        <w:pStyle w:val="ListBullet"/>
        <w:ind w:left="360"/>
      </w:pPr>
      <w:r>
        <w:rPr>
          <w:sz w:val="20"/>
        </w:rPr>
        <w:t>For each unique APU PSN, only the single most recent reference date is returned; historical trend records are excluded via ROW_NUMBER() window function with rank = 1 filter</w:t>
      </w:r>
    </w:p>
    <w:p>
      <w:pPr>
        <w:pStyle w:val="ListBullet"/>
        <w:ind w:left="360"/>
      </w:pPr>
      <w:r>
        <w:rPr>
          <w:sz w:val="20"/>
        </w:rPr>
        <w:t>Null workorder values (event_perfno_i) are preserved and included in output; APUs without active workorders are not excluded</w:t>
      </w:r>
    </w:p>
    <w:p>
      <w:pPr>
        <w:pStyle w:val="ListBullet"/>
        <w:ind w:left="360"/>
      </w:pPr>
      <w:r>
        <w:rPr>
          <w:sz w:val="20"/>
        </w:rPr>
        <w:t>Inner joins are used for all table relationships; APUs without corresponding aircraft records or trend data are excluded from output</w:t>
      </w:r>
    </w:p>
    <w:p/>
    <w:p>
      <w:pPr>
        <w:pStyle w:val="Heading2"/>
      </w:pPr>
      <w:r>
        <w:rPr>
          <w:b/>
          <w:color w:val="1A1A1A"/>
        </w:rPr>
        <w:t>11.4  Access Control</w:t>
      </w:r>
    </w:p>
    <w:p>
      <w:r>
        <w:rPr>
          <w:sz w:val="20"/>
        </w:rPr>
        <w:t>Developer and Tester roles have SELECT access to dremio-db.Engine_Folder.VDS_APU_Health_Monitor. Write access is restricted to the DataLake admin role. Production access will be configured at go-live with role-based access control aligned to ASL Airlines organizational structure.</w:t>
      </w:r>
    </w:p>
    <w:p/>
    <w:p>
      <w:pPr>
        <w:pStyle w:val="Heading1"/>
      </w:pPr>
      <w:r>
        <w:rPr>
          <w:b/>
          <w:color w:val="00386B"/>
        </w:rPr>
        <w:t>12. Sign-off</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Role</w:t>
            </w:r>
          </w:p>
        </w:tc>
        <w:tc>
          <w:tcPr>
            <w:tcW w:type="dxa" w:w="3120"/>
            <w:shd w:val="clear" w:color="auto" w:fill="00386B"/>
          </w:tcPr>
          <w:p>
            <w:pPr>
              <w:jc w:val="center"/>
            </w:pPr>
            <w:r/>
            <w:r>
              <w:rPr>
                <w:b/>
                <w:color w:val="FFFFFF"/>
                <w:sz w:val="20"/>
              </w:rPr>
              <w:t>Name</w:t>
            </w:r>
          </w:p>
        </w:tc>
        <w:tc>
          <w:tcPr>
            <w:tcW w:type="dxa" w:w="3120"/>
            <w:shd w:val="clear" w:color="auto" w:fill="00386B"/>
          </w:tcPr>
          <w:p>
            <w:pPr>
              <w:jc w:val="center"/>
            </w:pPr>
            <w:r/>
            <w:r>
              <w:rPr>
                <w:b/>
                <w:color w:val="FFFFFF"/>
                <w:sz w:val="20"/>
              </w:rPr>
              <w:t>Date</w:t>
            </w:r>
          </w:p>
        </w:tc>
      </w:tr>
      <w:tr>
        <w:tc>
          <w:tcPr>
            <w:tcW w:type="dxa" w:w="3120"/>
          </w:tcPr>
          <w:p>
            <w:r>
              <w:rPr>
                <w:sz w:val="18"/>
              </w:rPr>
              <w:t>Technical Lead</w:t>
            </w:r>
          </w:p>
        </w:tc>
        <w:tc>
          <w:tcPr>
            <w:tcW w:type="dxa" w:w="3120"/>
          </w:tcPr>
          <w:p>
            <w:r>
              <w:rPr>
                <w:sz w:val="18"/>
              </w:rPr>
              <w:t>Tony Fourmeau (ASL)</w:t>
            </w:r>
          </w:p>
        </w:tc>
        <w:tc>
          <w:tcPr>
            <w:tcW w:type="dxa" w:w="3120"/>
          </w:tcPr>
          <w:p>
            <w:r>
              <w:rPr>
                <w:sz w:val="18"/>
              </w:rPr>
            </w:r>
          </w:p>
        </w:tc>
      </w:tr>
      <w:tr>
        <w:tc>
          <w:tcPr>
            <w:tcW w:type="dxa" w:w="3120"/>
          </w:tcPr>
          <w:p>
            <w:r>
              <w:rPr>
                <w:sz w:val="18"/>
              </w:rPr>
              <w:t>Development Lead</w:t>
            </w:r>
          </w:p>
        </w:tc>
        <w:tc>
          <w:tcPr>
            <w:tcW w:type="dxa" w:w="3120"/>
          </w:tcPr>
          <w:p>
            <w:r>
              <w:rPr>
                <w:sz w:val="18"/>
              </w:rPr>
              <w:t>Suhas Shete (DnT)</w:t>
            </w:r>
          </w:p>
        </w:tc>
        <w:tc>
          <w:tcPr>
            <w:tcW w:type="dxa" w:w="3120"/>
          </w:tcPr>
          <w:p>
            <w:r>
              <w:rPr>
                <w:sz w:val="18"/>
              </w:rPr>
            </w:r>
          </w:p>
        </w:tc>
      </w:tr>
      <w:tr>
        <w:tc>
          <w:tcPr>
            <w:tcW w:type="dxa" w:w="3120"/>
          </w:tcPr>
          <w:p>
            <w:r>
              <w:rPr>
                <w:sz w:val="18"/>
              </w:rPr>
              <w:t>QA / Tester</w:t>
            </w:r>
          </w:p>
        </w:tc>
        <w:tc>
          <w:tcPr>
            <w:tcW w:type="dxa" w:w="3120"/>
          </w:tcPr>
          <w:p>
            <w:r>
              <w:rPr>
                <w:sz w:val="18"/>
              </w:rPr>
            </w:r>
          </w:p>
        </w:tc>
        <w:tc>
          <w:tcPr>
            <w:tcW w:type="dxa" w:w="3120"/>
          </w:tcPr>
          <w:p>
            <w:r>
              <w:rPr>
                <w:sz w:val="18"/>
              </w:rPr>
            </w:r>
          </w:p>
        </w:tc>
      </w:tr>
      <w:tr>
        <w:tc>
          <w:tcPr>
            <w:tcW w:type="dxa" w:w="3120"/>
          </w:tcPr>
          <w:p>
            <w:r>
              <w:rPr>
                <w:sz w:val="18"/>
              </w:rPr>
              <w:t>Business Owner</w:t>
            </w:r>
          </w:p>
        </w:tc>
        <w:tc>
          <w:tcPr>
            <w:tcW w:type="dxa" w:w="3120"/>
          </w:tcPr>
          <w:p>
            <w:r>
              <w:rPr>
                <w:sz w:val="18"/>
              </w:rPr>
            </w:r>
          </w:p>
        </w:tc>
        <w:tc>
          <w:tcPr>
            <w:tcW w:type="dxa" w:w="3120"/>
          </w:tcPr>
          <w:p>
            <w:r>
              <w:rPr>
                <w:sz w:val="18"/>
              </w:rPr>
            </w:r>
          </w:p>
        </w:tc>
      </w:tr>
    </w:tbl>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