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integrates AMOS rotables and trend data to provide real-time visibility into APU performance metrics for B737NG aircraft. The VDS will enable maintenance teams to track APU health indicators, identify performance trends, and correlate workorder activities with CT5 trend data, supporting predictive maintenance and operational decision-making across the ASL fleet.</w:t>
      </w:r>
    </w:p>
    <w:p/>
    <w:p>
      <w:pPr>
        <w:pStyle w:val="ListBullet"/>
        <w:ind w:left="360"/>
      </w:pPr>
      <w:r>
        <w:rPr>
          <w:sz w:val="20"/>
        </w:rPr>
        <w:t>VDS_APU_Health_Monitor: Provides APU part numbers, serial numbers, PSN identifiers, aircraft registration, latest reference dates, CT5 trend types, workorder information, and CT5ATP values for all B737NG aircraft in the AMOS Acceptance database</w:t>
      </w:r>
    </w:p>
    <w:p>
      <w:pPr>
        <w:pStyle w:val="ListBullet"/>
        <w:ind w:left="360"/>
      </w:pPr>
      <w:r>
        <w:rPr>
          <w:sz w:val="20"/>
        </w:rPr>
        <w:t>Engine Folder Integration: VDS is created and organized within the Engine Folder structure in Dremio for easy discovery and access by maintenance and engineering teams</w:t>
      </w:r>
    </w:p>
    <w:p>
      <w:pPr>
        <w:pStyle w:val="ListBullet"/>
        <w:ind w:left="360"/>
      </w:pPr>
      <w:r>
        <w:rPr>
          <w:sz w:val="20"/>
        </w:rPr>
        <w:t>Production-Ready Query: Query architecture supports seamless migration from AMOS Acceptance to AMOS Production database when system goes live, with minimal configuration changes</w:t>
      </w:r>
    </w:p>
    <w:p/>
    <w:p>
      <w:pPr>
        <w:pStyle w:val="Heading1"/>
      </w:pPr>
      <w:r>
        <w:rPr>
          <w:b/>
          <w:color w:val="00386B"/>
        </w:rPr>
        <w:t>5. Additional Requirements</w:t>
      </w:r>
    </w:p>
    <w:p>
      <w:pPr>
        <w:pStyle w:val="ListBullet"/>
        <w:ind w:left="360"/>
      </w:pPr>
      <w:r>
        <w:rPr>
          <w:sz w:val="20"/>
        </w:rPr>
        <w:t>APU identification must be unique per serial number; when multiple reference dates exist for the same APU, only the row with the maximum ref_date is returned to ensure latest data currency</w:t>
      </w:r>
    </w:p>
    <w:p>
      <w:pPr>
        <w:pStyle w:val="ListBullet"/>
        <w:ind w:left="360"/>
      </w:pPr>
      <w:r>
        <w:rPr>
          <w:sz w:val="20"/>
        </w:rPr>
        <w:t>Null handling: workorder information (event_perfno_i) may be null for APUs without active workorders; these rows must be included in results with null values preserved</w:t>
      </w:r>
    </w:p>
    <w:p>
      <w:pPr>
        <w:pStyle w:val="ListBullet"/>
        <w:ind w:left="360"/>
      </w:pPr>
      <w:r>
        <w:rPr>
          <w:sz w:val="20"/>
        </w:rPr>
        <w:t>Data quality validation: all output rows must have non-null values for partno, serialno, psn, ac_registr, ref_date, trend_type, and value fields; rows with missing critical fields are excluded</w:t>
      </w:r>
    </w:p>
    <w:p>
      <w:pPr>
        <w:pStyle w:val="ListBullet"/>
        <w:ind w:left="360"/>
      </w:pPr>
      <w:r>
        <w:rPr>
          <w:sz w:val="20"/>
        </w:rPr>
        <w:t>Performance constraint: query must complete within 30 seconds for datasets up to 500,000 rotables records; indexing on psn, serialno, and ref_date is required for optimal performance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rows returned if multiple trend_type values exist for the same APU on the same ref_date</w:t>
            </w:r>
          </w:p>
        </w:tc>
        <w:tc>
          <w:tcPr>
            <w:tcW w:type="dxa" w:w="4680"/>
          </w:tcPr>
          <w:p>
            <w:r>
              <w:rPr>
                <w:sz w:val="18"/>
              </w:rPr>
              <w:t>Apply ROW_NUMBER() window function partitioned by serialno ordered by ref_date DESC, then filter for rank = 1 to guarantee single row per APU</w:t>
            </w:r>
          </w:p>
        </w:tc>
      </w:tr>
      <w:tr>
        <w:tc>
          <w:tcPr>
            <w:tcW w:type="dxa" w:w="4680"/>
          </w:tcPr>
          <w:p>
            <w:r>
              <w:rPr>
                <w:sz w:val="18"/>
              </w:rPr>
              <w:t>Data type mismatch between rotables.psn and rotables_trend.psn causing join failures</w:t>
            </w:r>
          </w:p>
        </w:tc>
        <w:tc>
          <w:tcPr>
            <w:tcW w:type="dxa" w:w="4680"/>
          </w:tcPr>
          <w:p>
            <w:r>
              <w:rPr>
                <w:sz w:val="18"/>
              </w:rPr>
              <w:t>Validate source schema in AMOS Acceptance; cast both fields to VARCHAR if necessary; document data types in data dictionary</w:t>
            </w:r>
          </w:p>
        </w:tc>
      </w:tr>
      <w:tr>
        <w:tc>
          <w:tcPr>
            <w:tcW w:type="dxa" w:w="4680"/>
          </w:tcPr>
          <w:p>
            <w:r>
              <w:rPr>
                <w:sz w:val="18"/>
              </w:rPr>
              <w:t>Performance degradation if rotables_trend table contains millions of historical records without proper indexing</w:t>
            </w:r>
          </w:p>
        </w:tc>
        <w:tc>
          <w:tcPr>
            <w:tcW w:type="dxa" w:w="4680"/>
          </w:tcPr>
          <w:p>
            <w:r>
              <w:rPr>
                <w:sz w:val="18"/>
              </w:rPr>
              <w:t>Coordinate with AMOS database team to ensure indexes on psn, trend_type, and ref_date; consider partitioning strategy if table exceeds 10 million rows</w:t>
            </w:r>
          </w:p>
        </w:tc>
      </w:tr>
      <w:tr>
        <w:tc>
          <w:tcPr>
            <w:tcW w:type="dxa" w:w="4680"/>
          </w:tcPr>
          <w:p>
            <w:r>
              <w:rPr>
                <w:sz w:val="18"/>
              </w:rPr>
              <w:t>Aircraft type filter (ac_typ = 'B737NG') may exclude valid APUs if aircraft table contains variant spellings or case sensitivity issues</w:t>
            </w:r>
          </w:p>
        </w:tc>
        <w:tc>
          <w:tcPr>
            <w:tcW w:type="dxa" w:w="4680"/>
          </w:tcPr>
          <w:p>
            <w:r>
              <w:rPr>
                <w:sz w:val="18"/>
              </w:rPr>
              <w:t>Validate aircraft type values in source data; use UPPER() function for case-insensitive comparison; document exact aircraft type values expected</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amos.rotables or amos.rotables_trend contains no records for a given date range</w:t>
            </w:r>
          </w:p>
        </w:tc>
        <w:tc>
          <w:tcPr>
            <w:tcW w:type="dxa" w:w="4680"/>
          </w:tcPr>
          <w:p>
            <w:r>
              <w:rPr>
                <w:sz w:val="18"/>
              </w:rPr>
              <w:t>VDS returns empty result set with correct schema; monitoring alert is triggered to notify DataLake team; fallback to previous day's snapshot if available</w:t>
            </w:r>
          </w:p>
        </w:tc>
      </w:tr>
      <w:tr>
        <w:tc>
          <w:tcPr>
            <w:tcW w:type="dxa" w:w="4680"/>
          </w:tcPr>
          <w:p>
            <w:r>
              <w:rPr>
                <w:sz w:val="18"/>
              </w:rPr>
              <w:t>VDS becomes unavailable due to Dremio service interruption or metadata corruption</w:t>
            </w:r>
          </w:p>
        </w:tc>
        <w:tc>
          <w:tcPr>
            <w:tcW w:type="dxa" w:w="4680"/>
          </w:tcPr>
          <w:p>
            <w:r>
              <w:rPr>
                <w:sz w:val="18"/>
              </w:rPr>
              <w:t>Maintain backup VDS definition in version control; restore from backup within 2 hours; notify stakeholders of outage; implement automated health checks</w:t>
            </w:r>
          </w:p>
        </w:tc>
      </w:tr>
      <w:tr>
        <w:tc>
          <w:tcPr>
            <w:tcW w:type="dxa" w:w="4680"/>
          </w:tcPr>
          <w:p>
            <w:r>
              <w:rPr>
                <w:sz w:val="18"/>
              </w:rPr>
              <w:t>AMOS Acceptance database is offline during scheduled maintenance</w:t>
            </w:r>
          </w:p>
        </w:tc>
        <w:tc>
          <w:tcPr>
            <w:tcW w:type="dxa" w:w="4680"/>
          </w:tcPr>
          <w:p>
            <w:r>
              <w:rPr>
                <w:sz w:val="18"/>
              </w:rPr>
              <w:t>VDS query fails gracefully with clear error message; users are notified of maintenance window; query is automatically retried after service restoration</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amos.rotables</w:t>
            </w:r>
          </w:p>
        </w:tc>
        <w:tc>
          <w:tcPr>
            <w:tcW w:type="dxa" w:w="3120"/>
          </w:tcPr>
          <w:p>
            <w:r>
              <w:rPr>
                <w:sz w:val="18"/>
              </w:rPr>
              <w:t>amos_acceptance.amos.rotables</w:t>
            </w:r>
          </w:p>
        </w:tc>
        <w:tc>
          <w:tcPr>
            <w:tcW w:type="dxa" w:w="3120"/>
          </w:tcPr>
          <w:p>
            <w:r>
              <w:rPr>
                <w:sz w:val="18"/>
              </w:rPr>
              <w:t>Contains APU rotable component master data including part numbers, serial numbers, PSN identifiers, and aircraft registration associations</w:t>
            </w:r>
          </w:p>
        </w:tc>
      </w:tr>
      <w:tr>
        <w:tc>
          <w:tcPr>
            <w:tcW w:type="dxa" w:w="3120"/>
          </w:tcPr>
          <w:p>
            <w:r>
              <w:rPr>
                <w:sz w:val="18"/>
              </w:rPr>
              <w:t>amos.rotables_trend</w:t>
            </w:r>
          </w:p>
        </w:tc>
        <w:tc>
          <w:tcPr>
            <w:tcW w:type="dxa" w:w="3120"/>
          </w:tcPr>
          <w:p>
            <w:r>
              <w:rPr>
                <w:sz w:val="18"/>
              </w:rPr>
              <w:t>amos_acceptance.amos.rotables_trend</w:t>
            </w:r>
          </w:p>
        </w:tc>
        <w:tc>
          <w:tcPr>
            <w:tcW w:type="dxa" w:w="3120"/>
          </w:tcPr>
          <w:p>
            <w:r>
              <w:rPr>
                <w:sz w:val="18"/>
              </w:rPr>
              <w:t>Contains historical trend data for rotable components including trend types (CT5), reference dates, workorder information, and trend values (CT5ATP)</w:t>
            </w:r>
          </w:p>
        </w:tc>
      </w:tr>
      <w:tr>
        <w:tc>
          <w:tcPr>
            <w:tcW w:type="dxa" w:w="3120"/>
          </w:tcPr>
          <w:p>
            <w:r>
              <w:rPr>
                <w:sz w:val="18"/>
              </w:rPr>
              <w:t>amos.aircraft</w:t>
            </w:r>
          </w:p>
        </w:tc>
        <w:tc>
          <w:tcPr>
            <w:tcW w:type="dxa" w:w="3120"/>
          </w:tcPr>
          <w:p>
            <w:r>
              <w:rPr>
                <w:sz w:val="18"/>
              </w:rPr>
              <w:t>amos_acceptance.amos.aircraft</w:t>
            </w:r>
          </w:p>
        </w:tc>
        <w:tc>
          <w:tcPr>
            <w:tcW w:type="dxa" w:w="3120"/>
          </w:tcPr>
          <w:p>
            <w:r>
              <w:rPr>
                <w:sz w:val="18"/>
              </w:rPr>
              <w:t>Contains aircraft master data including registration numbers and aircraft type classifications used to filter for B737NG aircraft</w:t>
            </w:r>
          </w:p>
        </w:tc>
      </w:tr>
    </w:tbl>
    <w:p/>
    <w:p>
      <w:pPr>
        <w:pStyle w:val="Heading2"/>
      </w:pPr>
      <w:r>
        <w:rPr>
          <w:b/>
          <w:color w:val="1A1A1A"/>
        </w:rPr>
        <w:t>8.2  Interface Process</w:t>
      </w:r>
    </w:p>
    <w:p>
      <w:pPr>
        <w:pStyle w:val="Heading3"/>
      </w:pPr>
      <w:r>
        <w:rPr>
          <w:b/>
          <w:color w:val="1A1A1A"/>
        </w:rPr>
        <w:t>VDS_APU_Health_Monitor</w:t>
      </w:r>
    </w:p>
    <w:p>
      <w:pPr>
        <w:pStyle w:val="ListBullet"/>
        <w:ind w:left="360"/>
      </w:pPr>
      <w:r>
        <w:rPr>
          <w:sz w:val="20"/>
        </w:rPr>
        <w:t>Select APU data from amos.rotables table, extracting partno, serialno, psn, and ac_registr fields for all records</w:t>
      </w:r>
    </w:p>
    <w:p>
      <w:pPr>
        <w:pStyle w:val="ListBullet"/>
        <w:ind w:left="360"/>
      </w:pPr>
      <w:r>
        <w:rPr>
          <w:sz w:val="20"/>
        </w:rPr>
        <w:t>Join amos.rotables with amos.rotables_trend on psn field to correlate APU master data with trend history; include trend_type, ref_date, event_perfno_i, and value fields from rotables_trend</w:t>
      </w:r>
    </w:p>
    <w:p>
      <w:pPr>
        <w:pStyle w:val="ListBullet"/>
        <w:ind w:left="360"/>
      </w:pPr>
      <w:r>
        <w:rPr>
          <w:sz w:val="20"/>
        </w:rPr>
        <w:t>Join result set with amos.aircraft on ac_registr field to obtain ac_typ; filter result set to include only rows where ac_typ equals 'B737NG' and trend_type equals 'CT5'</w:t>
      </w:r>
    </w:p>
    <w:p>
      <w:pPr>
        <w:pStyle w:val="ListBullet"/>
        <w:ind w:left="360"/>
      </w:pPr>
      <w:r>
        <w:rPr>
          <w:sz w:val="20"/>
        </w:rPr>
        <w:t>Apply window function ROW_NUMBER() partitioned by serialno ordered by ref_date DESC to rank records by recency; filter for rank = 1 to select only the latest reference date per APU</w:t>
      </w:r>
    </w:p>
    <w:p>
      <w:pPr>
        <w:pStyle w:val="ListBullet"/>
        <w:ind w:left="360"/>
      </w:pPr>
      <w:r>
        <w:rPr>
          <w:sz w:val="20"/>
        </w:rPr>
        <w:t>Return final output with fields: partno, serialno, psn, ac_registr, ref_date, trend_type, event_perfno_i, value, ac_typ; order by ac_registr and serialno for readability</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assigned by manufacturer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unique serial number for each APU unit; used as deduplication key in window function</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used as join key between rotables and rotables_trend tables</w:t>
            </w:r>
          </w:p>
        </w:tc>
      </w:tr>
      <w:tr>
        <w:tc>
          <w:tcPr>
            <w:tcW w:type="dxa" w:w="3120"/>
          </w:tcPr>
          <w:p>
            <w:r>
              <w:rPr>
                <w:sz w:val="18"/>
              </w:rPr>
              <w:t>ac_registr</w:t>
            </w:r>
          </w:p>
        </w:tc>
        <w:tc>
          <w:tcPr>
            <w:tcW w:type="dxa" w:w="3120"/>
          </w:tcPr>
          <w:p>
            <w:r>
              <w:rPr>
                <w:sz w:val="18"/>
              </w:rPr>
              <w:t>amos.rotables.ac_registr</w:t>
            </w:r>
          </w:p>
        </w:tc>
        <w:tc>
          <w:tcPr>
            <w:tcW w:type="dxa" w:w="3120"/>
          </w:tcPr>
          <w:p>
            <w:r>
              <w:rPr>
                <w:sz w:val="18"/>
              </w:rPr>
              <w:t>Direct selection from rotables table; aircraft registration number used to join with aircraft table for type filtering</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represents the reference date of the trend record; filtered to maximum value per serialno using ROW_NUMBER() window function</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equal 'CT5' to show only CT5 trend type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information if present; null values are preserved for APUs without active workorders</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CT5ATP value for the trend record; numeric field indicating APU performance metric</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after join on ac_registr; filtered to equal 'B737NG' to include only B737NG aircraft APUs</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amos.rotables</w:t>
            </w:r>
          </w:p>
        </w:tc>
        <w:tc>
          <w:tcPr>
            <w:tcW w:type="dxa" w:w="4680"/>
          </w:tcPr>
          <w:p>
            <w:r>
              <w:rPr>
                <w:sz w:val="18"/>
              </w:rPr>
              <w:t>amos_acceptance.amos.rotables</w:t>
            </w:r>
          </w:p>
        </w:tc>
      </w:tr>
      <w:tr>
        <w:tc>
          <w:tcPr>
            <w:tcW w:type="dxa" w:w="4680"/>
          </w:tcPr>
          <w:p>
            <w:r>
              <w:rPr>
                <w:sz w:val="18"/>
              </w:rPr>
              <w:t>amos.rotables_trend</w:t>
            </w:r>
          </w:p>
        </w:tc>
        <w:tc>
          <w:tcPr>
            <w:tcW w:type="dxa" w:w="4680"/>
          </w:tcPr>
          <w:p>
            <w:r>
              <w:rPr>
                <w:sz w:val="18"/>
              </w:rPr>
              <w:t>amos_acceptance.amos.rotables_trend</w:t>
            </w:r>
          </w:p>
        </w:tc>
      </w:tr>
      <w:tr>
        <w:tc>
          <w:tcPr>
            <w:tcW w:type="dxa" w:w="4680"/>
          </w:tcPr>
          <w:p>
            <w:r>
              <w:rPr>
                <w:sz w:val="18"/>
              </w:rPr>
              <w:t>amos.aircraft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VDS_APU_Health_Monitor</w:t>
            </w:r>
          </w:p>
        </w:tc>
        <w:tc>
          <w:tcPr>
            <w:tcW w:type="dxa" w:w="4680"/>
          </w:tcPr>
          <w:p>
            <w:r>
              <w:rPr>
                <w:sz w:val="18"/>
              </w:rPr>
              <w:t>dremio-db.Engine_Folder.VDS_APU_Health_Monitor</w:t>
            </w:r>
          </w:p>
        </w:tc>
      </w:tr>
    </w:tbl>
    <w:p/>
    <w:p>
      <w:pPr>
        <w:pStyle w:val="Heading2"/>
      </w:pPr>
      <w:r>
        <w:rPr>
          <w:b/>
          <w:color w:val="1A1A1A"/>
        </w:rPr>
        <w:t>11.3  Key Business Rules</w:t>
      </w:r>
    </w:p>
    <w:p>
      <w:pPr>
        <w:pStyle w:val="ListBullet"/>
        <w:ind w:left="360"/>
      </w:pPr>
      <w:r>
        <w:rPr>
          <w:sz w:val="20"/>
        </w:rPr>
        <w:t>Aircraft type filter: only B737NG aircraft are included in results; other aircraft types are excluded at join stage with amos.aircraft table</w:t>
      </w:r>
    </w:p>
    <w:p>
      <w:pPr>
        <w:pStyle w:val="ListBullet"/>
        <w:ind w:left="360"/>
      </w:pPr>
      <w:r>
        <w:rPr>
          <w:sz w:val="20"/>
        </w:rPr>
        <w:t>Trend type filter: only CT5 trend type records are returned; other trend types are excluded to focus on APU performance metrics</w:t>
      </w:r>
    </w:p>
    <w:p>
      <w:pPr>
        <w:pStyle w:val="ListBullet"/>
        <w:ind w:left="360"/>
      </w:pPr>
      <w:r>
        <w:rPr>
          <w:sz w:val="20"/>
        </w:rPr>
        <w:t>Latest reference date rule: for each unique APU serial number, only the row with the maximum ref_date is returned; achieved using ROW_NUMBER() window function partitioned by serialno ordered by ref_date DESC with rank = 1 filter</w:t>
      </w:r>
    </w:p>
    <w:p>
      <w:pPr>
        <w:pStyle w:val="ListBullet"/>
        <w:ind w:left="360"/>
      </w:pPr>
      <w:r>
        <w:rPr>
          <w:sz w:val="20"/>
        </w:rPr>
        <w:t>Null handling: workorder information (event_perfno_i) may be null; these rows are included in results with null values preserved to show APUs without active workorders</w:t>
      </w:r>
    </w:p>
    <w:p>
      <w:pPr>
        <w:pStyle w:val="ListBullet"/>
        <w:ind w:left="360"/>
      </w:pPr>
      <w:r>
        <w:rPr>
          <w:sz w:val="20"/>
        </w:rPr>
        <w:t>Data completeness: rows with null values in critical fields (partno, serialno, psn, ac_registr, ref_date, trend_type, value) are excluded from results to ensure data quality</w:t>
      </w:r>
    </w:p>
    <w:p/>
    <w:p>
      <w:pPr>
        <w:pStyle w:val="Heading2"/>
      </w:pPr>
      <w:r>
        <w:rPr>
          <w:b/>
          <w:color w:val="1A1A1A"/>
        </w:rPr>
        <w:t>11.4  Access Control</w:t>
      </w:r>
    </w:p>
    <w:p>
      <w:r>
        <w:rPr>
          <w:sz w:val="20"/>
        </w:rPr>
        <w:t>Developer and Tester roles have SELECT access to the VDS output paths dremio-db.Engine_Folder.VDS_APU_Health_Monitor. Write access is restricted to the DataLake admin role. Source table access to amos_acceptance.amos.rotables, amos_acceptance.amos.rotables_trend, and amos_acceptance.amos.aircraft is controlled by AMOS database team.</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