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data from the AMOS maintenance system for all B737NG aircraft in the ASL fleet. The query integrates rotables inventory data with rotables trend analysis to provide maintenance teams with the latest APU performance metrics, enabling proactive health monitoring and predictive maintenance planning. The VDS will be deployed in the Engine Folder within Dremio and will serve as the foundation for APU performance dashboards and health analytics.</w:t>
      </w:r>
    </w:p>
    <w:p/>
    <w:p>
      <w:pPr>
        <w:pStyle w:val="ListBullet"/>
        <w:ind w:left="360"/>
      </w:pPr>
      <w:r>
        <w:rPr>
          <w:sz w:val="20"/>
        </w:rPr>
        <w:t>VDS APU_Health_Monitor: Provides consolidated APU performance data including part numbers, serial numbers, PSN identifiers, aircraft registration, latest reference dates, trend types (CT5), workorder information, and CT5ATP values filtered for B737NG aircraft</w:t>
      </w:r>
    </w:p>
    <w:p>
      <w:pPr>
        <w:pStyle w:val="ListBullet"/>
        <w:ind w:left="360"/>
      </w:pPr>
      <w:r>
        <w:rPr>
          <w:sz w:val="20"/>
        </w:rPr>
        <w:t>Engine Folder Integration: VDS is created and organized within the Engine Folder in Dremio for logical data governance and access control</w:t>
      </w:r>
    </w:p>
    <w:p>
      <w:pPr>
        <w:pStyle w:val="ListBullet"/>
        <w:ind w:left="360"/>
      </w:pPr>
      <w:r>
        <w:rPr>
          <w:sz w:val="20"/>
        </w:rPr>
        <w:t>APU Performance Analytics: Enables maintenance teams to track APU health trends, identify performance anomalies, and schedule preventive maintenance based on CT5 trend analysis</w:t>
      </w:r>
    </w:p>
    <w:p/>
    <w:p>
      <w:pPr>
        <w:pStyle w:val="Heading1"/>
      </w:pPr>
      <w:r>
        <w:rPr>
          <w:b/>
          <w:color w:val="00386B"/>
        </w:rPr>
        <w:t>5. Additional Requirements</w:t>
      </w:r>
    </w:p>
    <w:p>
      <w:pPr>
        <w:pStyle w:val="ListBullet"/>
        <w:ind w:left="360"/>
      </w:pPr>
      <w:r>
        <w:rPr>
          <w:sz w:val="20"/>
        </w:rPr>
        <w:t>Handle null values in event_perfno_i field gracefully, returning empty string or null as appropriate for workorder information when not present</w:t>
      </w:r>
    </w:p>
    <w:p>
      <w:pPr>
        <w:pStyle w:val="ListBullet"/>
        <w:ind w:left="360"/>
      </w:pPr>
      <w:r>
        <w:rPr>
          <w:sz w:val="20"/>
        </w:rPr>
        <w:t>Ensure PSN field uniqueness is maintained and that only the maximum ref_date is returned for each unique PSN to prevent duplicate APU records</w:t>
      </w:r>
    </w:p>
    <w:p>
      <w:pPr>
        <w:pStyle w:val="ListBullet"/>
        <w:ind w:left="360"/>
      </w:pPr>
      <w:r>
        <w:rPr>
          <w:sz w:val="20"/>
        </w:rPr>
        <w:t>Validate that all B737NG aircraft registrations in the output correspond to active aircraft in the fleet and that no orphaned rotables records are included</w:t>
      </w:r>
    </w:p>
    <w:p>
      <w:pPr>
        <w:pStyle w:val="ListBullet"/>
        <w:ind w:left="360"/>
      </w:pPr>
      <w:r>
        <w:rPr>
          <w:sz w:val="20"/>
        </w:rPr>
        <w:t>Query performance must complete within 30 seconds for typical dataset sizes and support incremental refresh patterns for daily or weekly data updates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Source table schema changes in AMOS could break column mappings if field names or data types are modified without notification</w:t>
            </w:r>
          </w:p>
        </w:tc>
        <w:tc>
          <w:tcPr>
            <w:tcW w:type="dxa" w:w="4680"/>
          </w:tcPr>
          <w:p>
            <w:r>
              <w:rPr>
                <w:sz w:val="18"/>
              </w:rPr>
              <w:t>Implement column existence validation in the VDS creation script and establish change notification protocol with AMOS database administrators</w:t>
            </w:r>
          </w:p>
        </w:tc>
      </w:tr>
      <w:tr>
        <w:tc>
          <w:tcPr>
            <w:tcW w:type="dxa" w:w="4680"/>
          </w:tcPr>
          <w:p>
            <w:r>
              <w:rPr>
                <w:sz w:val="18"/>
              </w:rPr>
              <w:t>Large volume of historical rotables_trend records could cause query performance degradation if ref_date filtering is not optimized</w:t>
            </w:r>
          </w:p>
        </w:tc>
        <w:tc>
          <w:tcPr>
            <w:tcW w:type="dxa" w:w="4680"/>
          </w:tcPr>
          <w:p>
            <w:r>
              <w:rPr>
                <w:sz w:val="18"/>
              </w:rPr>
              <w:t>Create database indexes on rotables_trend.psn and rotables_trend.ref_date columns; implement partition pruning in Dremio query optimization</w:t>
            </w:r>
          </w:p>
        </w:tc>
      </w:tr>
      <w:tr>
        <w:tc>
          <w:tcPr>
            <w:tcW w:type="dxa" w:w="4680"/>
          </w:tcPr>
          <w:p>
            <w:r>
              <w:rPr>
                <w:sz w:val="18"/>
              </w:rPr>
              <w:t>Data quality issues such as missing PSN values or orphaned aircraft registrations could result in incomplete or incorrect APU records</w:t>
            </w:r>
          </w:p>
        </w:tc>
        <w:tc>
          <w:tcPr>
            <w:tcW w:type="dxa" w:w="4680"/>
          </w:tcPr>
          <w:p>
            <w:r>
              <w:rPr>
                <w:sz w:val="18"/>
              </w:rPr>
              <w:t>Implement data validation checks post-query execution to identify and log records with null PSN or unmatched aircraft registrations; establish data quality SLA with AMOS team</w:t>
            </w:r>
          </w:p>
        </w:tc>
      </w:tr>
      <w:tr>
        <w:tc>
          <w:tcPr>
            <w:tcW w:type="dxa" w:w="4680"/>
          </w:tcPr>
          <w:p>
            <w:r>
              <w:rPr>
                <w:sz w:val="18"/>
              </w:rPr>
              <w:t>Concurrent access to the VDS during peak maintenance reporting periods could impact query response times</w:t>
            </w:r>
          </w:p>
        </w:tc>
        <w:tc>
          <w:tcPr>
            <w:tcW w:type="dxa" w:w="4680"/>
          </w:tcPr>
          <w:p>
            <w:r>
              <w:rPr>
                <w:sz w:val="18"/>
              </w:rPr>
              <w:t>Configure Dremio query queuing and resource allocation policies; implement caching strategies for frequently accessed APU records</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If source AMOS tables are unavailable or undergoing maintenance, the VDS query will fail and APU health monitoring will be interrupted</w:t>
            </w:r>
          </w:p>
        </w:tc>
        <w:tc>
          <w:tcPr>
            <w:tcW w:type="dxa" w:w="4680"/>
          </w:tcPr>
          <w:p>
            <w:r>
              <w:rPr>
                <w:sz w:val="18"/>
              </w:rPr>
              <w:t>Implement materialized snapshot of the VDS refreshed daily; establish fallback to previous day snapshot if source is unavailable for more than 2 hours; notify stakeholders of data staleness</w:t>
            </w:r>
          </w:p>
        </w:tc>
      </w:tr>
      <w:tr>
        <w:tc>
          <w:tcPr>
            <w:tcW w:type="dxa" w:w="4680"/>
          </w:tcPr>
          <w:p>
            <w:r>
              <w:rPr>
                <w:sz w:val="18"/>
              </w:rPr>
              <w:t>If the VDS is accidentally deleted or corrupted in Dremio, dependent dashboards and reports will fail</w:t>
            </w:r>
          </w:p>
        </w:tc>
        <w:tc>
          <w:tcPr>
            <w:tcW w:type="dxa" w:w="4680"/>
          </w:tcPr>
          <w:p>
            <w:r>
              <w:rPr>
                <w:sz w:val="18"/>
              </w:rPr>
              <w:t>Maintain version control of VDS definition in Git repository; implement automated backup of VDS metadata; establish recovery procedure to redeploy VDS from source definition within 1 hour</w:t>
            </w:r>
          </w:p>
        </w:tc>
      </w:tr>
      <w:tr>
        <w:tc>
          <w:tcPr>
            <w:tcW w:type="dxa" w:w="4680"/>
          </w:tcPr>
          <w:p>
            <w:r>
              <w:rPr>
                <w:sz w:val="18"/>
              </w:rPr>
              <w:t>If rotables or rotables_trend tables are truncated or significantly modified in AMOS, historical APU data may be lost</w:t>
            </w:r>
          </w:p>
        </w:tc>
        <w:tc>
          <w:tcPr>
            <w:tcW w:type="dxa" w:w="4680"/>
          </w:tcPr>
          <w:p>
            <w:r>
              <w:rPr>
                <w:sz w:val="18"/>
              </w:rPr>
              <w:t>Establish data retention policy with AMOS team; implement audit logging of table modifications; maintain separate archive table for historical APU records</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data including part numbers, serial numbers, PSN identifiers, and aircraft registration associations for all rotable components</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time-series trend data for rotable components including reference dates, trend types (CT5), workorder information, and performance values (CT5ATP)</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numbers, aircraft types, and fleet information for all ASL aircraft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APU inventory data from amos_acceptance.amos.rotables table, extracting partno, serialno, psn, and ac_registr fields</w:t>
      </w:r>
    </w:p>
    <w:p>
      <w:pPr>
        <w:pStyle w:val="ListBullet"/>
        <w:ind w:left="360"/>
      </w:pPr>
      <w:r>
        <w:rPr>
          <w:sz w:val="20"/>
        </w:rPr>
        <w:t>Join rotables table to amos_acceptance.amos.rotables_trend table on psn field to associate each APU with its performance trend records</w:t>
      </w:r>
    </w:p>
    <w:p>
      <w:pPr>
        <w:pStyle w:val="ListBullet"/>
        <w:ind w:left="360"/>
      </w:pPr>
      <w:r>
        <w:rPr>
          <w:sz w:val="20"/>
        </w:rPr>
        <w:t>Join rotables table to amos_acceptance.amos.aircraft table on ac_registr field to retrieve aircraft type information and validate B737NG aircraft</w:t>
      </w:r>
    </w:p>
    <w:p>
      <w:pPr>
        <w:pStyle w:val="ListBullet"/>
        <w:ind w:left="360"/>
      </w:pPr>
      <w:r>
        <w:rPr>
          <w:sz w:val="20"/>
        </w:rPr>
        <w:t>Filter rotables_trend records to include only those where trend_type equals CT5 to isolate APU performance metrics</w:t>
      </w:r>
    </w:p>
    <w:p>
      <w:pPr>
        <w:pStyle w:val="ListBullet"/>
        <w:ind w:left="360"/>
      </w:pPr>
      <w:r>
        <w:rPr>
          <w:sz w:val="20"/>
        </w:rPr>
        <w:t>Apply window function to identify the maximum ref_date for each unique PSN, ensuring only the latest reference date is returned for each APU</w:t>
      </w:r>
    </w:p>
    <w:p>
      <w:pPr>
        <w:pStyle w:val="ListBullet"/>
        <w:ind w:left="360"/>
      </w:pPr>
      <w:r>
        <w:rPr>
          <w:sz w:val="20"/>
        </w:rPr>
        <w:t>Filter final result set to include only records where aircraft.ac_typ equals B737NG to scope output to target aircraft type</w:t>
      </w:r>
    </w:p>
    <w:p>
      <w:pPr>
        <w:pStyle w:val="ListBullet"/>
        <w:ind w:left="360"/>
      </w:pPr>
      <w:r>
        <w:rPr>
          <w:sz w:val="20"/>
        </w:rPr>
        <w:t>Select output fields: partno, serialno, psn, ac_registr, ref_date, trend_type, event_perfno_i, value (renamed to ct5atp_value), and ac_typ</w:t>
      </w:r>
    </w:p>
    <w:p>
      <w:pPr>
        <w:pStyle w:val="ListBullet"/>
        <w:ind w:left="360"/>
      </w:pPr>
      <w:r>
        <w:rPr>
          <w:sz w:val="20"/>
        </w:rPr>
        <w:t>Order results by ac_registr and psn for consistent output and ease of validation</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mapping from rotables table; represents the APU part number as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mapping from rotables table; represents the unique serial number assigned to the specific APU unit</w:t>
            </w:r>
          </w:p>
        </w:tc>
      </w:tr>
      <w:tr>
        <w:tc>
          <w:tcPr>
            <w:tcW w:type="dxa" w:w="3120"/>
          </w:tcPr>
          <w:p>
            <w:r>
              <w:rPr>
                <w:sz w:val="18"/>
              </w:rPr>
              <w:t>psn</w:t>
            </w:r>
          </w:p>
        </w:tc>
        <w:tc>
          <w:tcPr>
            <w:tcW w:type="dxa" w:w="3120"/>
          </w:tcPr>
          <w:p>
            <w:r>
              <w:rPr>
                <w:sz w:val="18"/>
              </w:rPr>
              <w:t>amos.rotables.psn</w:t>
            </w:r>
          </w:p>
        </w:tc>
        <w:tc>
          <w:tcPr>
            <w:tcW w:type="dxa" w:w="3120"/>
          </w:tcPr>
          <w:p>
            <w:r>
              <w:rPr>
                <w:sz w:val="18"/>
              </w:rPr>
              <w:t>Direct mapping from rotables table; represents the unique Part Serial Number identifier used as join key to rotables_trend</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mapping from rotables table; represents the aircraft registration number to which the APU is fitted</w:t>
            </w:r>
          </w:p>
        </w:tc>
      </w:tr>
      <w:tr>
        <w:tc>
          <w:tcPr>
            <w:tcW w:type="dxa" w:w="3120"/>
          </w:tcPr>
          <w:p>
            <w:r>
              <w:rPr>
                <w:sz w:val="18"/>
              </w:rPr>
              <w:t>ref_date</w:t>
            </w:r>
          </w:p>
        </w:tc>
        <w:tc>
          <w:tcPr>
            <w:tcW w:type="dxa" w:w="3120"/>
          </w:tcPr>
          <w:p>
            <w:r>
              <w:rPr>
                <w:sz w:val="18"/>
              </w:rPr>
              <w:t>amos.rotables_trend.ref_date</w:t>
            </w:r>
          </w:p>
        </w:tc>
        <w:tc>
          <w:tcPr>
            <w:tcW w:type="dxa" w:w="3120"/>
          </w:tcPr>
          <w:p>
            <w:r>
              <w:rPr>
                <w:sz w:val="18"/>
              </w:rPr>
              <w:t>Filtered to maximum date per PSN using window function MAX(ref_date) OVER (PARTITION BY psn); ensures only latest reference date is returned for each APU</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mapping from rotables_trend table; filtered to include only CT5 trend type records representing APU performance metrics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mapping from rotables_trend table; represents workorder information when present; null values are preserved to indicate absence of associated workorder</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mapping from rotables_trend table; represents the CT5ATP performance value extracted from trend analysis; cast to numeric type if necessary</w:t>
            </w:r>
          </w:p>
        </w:tc>
      </w:tr>
      <w:tr>
        <w:tc>
          <w:tcPr>
            <w:tcW w:type="dxa" w:w="3120"/>
          </w:tcPr>
          <w:p>
            <w:r>
              <w:rPr>
                <w:sz w:val="18"/>
              </w:rPr>
              <w:t>ac_typ</w:t>
            </w:r>
          </w:p>
        </w:tc>
        <w:tc>
          <w:tcPr>
            <w:tcW w:type="dxa" w:w="3120"/>
          </w:tcPr>
          <w:p>
            <w:r>
              <w:rPr>
                <w:sz w:val="18"/>
              </w:rPr>
              <w:t>amos.aircraft.ac_typ</w:t>
            </w:r>
          </w:p>
        </w:tc>
        <w:tc>
          <w:tcPr>
            <w:tcW w:type="dxa" w:w="3120"/>
          </w:tcPr>
          <w:p>
            <w:r>
              <w:rPr>
                <w:sz w:val="18"/>
              </w:rPr>
              <w:t>Direct mapping from aircraft table via join on ac_registr; filtered to include only B737NG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dremio-db.Engine_Folder.APU_Health_Monitor</w:t>
            </w:r>
          </w:p>
        </w:tc>
      </w:tr>
    </w:tbl>
    <w:p/>
    <w:p>
      <w:pPr>
        <w:pStyle w:val="Heading2"/>
      </w:pPr>
      <w:r>
        <w:rPr>
          <w:b/>
          <w:color w:val="1A1A1A"/>
        </w:rPr>
        <w:t>11.3  Key Business Rules</w:t>
      </w:r>
    </w:p>
    <w:p>
      <w:pPr>
        <w:pStyle w:val="ListBullet"/>
        <w:ind w:left="360"/>
      </w:pPr>
      <w:r>
        <w:rPr>
          <w:sz w:val="20"/>
        </w:rPr>
        <w:t>Only APUs fitted to B737NG aircraft type are included in the output; all other aircraft types are excluded via filter on aircraft.ac_typ</w:t>
      </w:r>
    </w:p>
    <w:p>
      <w:pPr>
        <w:pStyle w:val="ListBullet"/>
        <w:ind w:left="360"/>
      </w:pPr>
      <w:r>
        <w:rPr>
          <w:sz w:val="20"/>
        </w:rPr>
        <w:t>For each unique PSN, only the record with the maximum ref_date is returned; earlier reference dates are excluded to ensure latest APU health status is reported</w:t>
      </w:r>
    </w:p>
    <w:p>
      <w:pPr>
        <w:pStyle w:val="ListBullet"/>
        <w:ind w:left="360"/>
      </w:pPr>
      <w:r>
        <w:rPr>
          <w:sz w:val="20"/>
        </w:rPr>
        <w:t>Only trend records where trend_type equals CT5 are included; other trend types are filtered out to focus on APU performance metrics</w:t>
      </w:r>
    </w:p>
    <w:p>
      <w:pPr>
        <w:pStyle w:val="ListBullet"/>
        <w:ind w:left="360"/>
      </w:pPr>
      <w:r>
        <w:rPr>
          <w:sz w:val="20"/>
        </w:rPr>
        <w:t>Null values in event_perfno_i are preserved to indicate absence of workorder information; no default values are substituted</w:t>
      </w:r>
    </w:p>
    <w:p>
      <w:pPr>
        <w:pStyle w:val="ListBullet"/>
        <w:ind w:left="360"/>
      </w:pPr>
      <w:r>
        <w:rPr>
          <w:sz w:val="20"/>
        </w:rPr>
        <w:t>All output records must have valid PSN, ac_registr, and ac_typ values; records with null values in these key fields are excluded from final result set</w:t>
      </w:r>
    </w:p>
    <w:p/>
    <w:p>
      <w:pPr>
        <w:pStyle w:val="Heading2"/>
      </w:pPr>
      <w:r>
        <w:rPr>
          <w:b/>
          <w:color w:val="1A1A1A"/>
        </w:rPr>
        <w:t>11.4  Access Control</w:t>
      </w:r>
    </w:p>
    <w:p>
      <w:r>
        <w:rPr>
          <w:sz w:val="20"/>
        </w:rPr>
        <w:t>Developer and Tester roles have SELECT access to the VDS output paths dremio-db.Engine_Folder.APU_Health_Monitor. Write access is restricted to the DataLake admin role. Source table access to amos_acceptance.amos.rotables, amos_acceptance.amos.rotables_trend, and amos_acceptance.amos.aircraft is restricted to DataLake service accounts with appropriate AMOS database permissions.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