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drawing>
          <wp:inline distT="0" distB="0" distL="0" distR="0">
            <wp:extent cx="1666875"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66875" cy="638175"/>
                    </a:xfrm>
                    <a:prstGeom prst="rect">
                      <a:avLst/>
                    </a:prstGeom>
                  </pic:spPr>
                </pic:pic>
              </a:graphicData>
            </a:graphic>
          </wp:inline>
        </w:drawing>
      </w:r>
    </w:p>
    <w:p>
      <w:pPr>
        <w:spacing w:after="120"/>
      </w:pPr>
    </w:p>
    <w:p>
      <w:pPr>
        <w:spacing w:after="600" w:before="360"/>
        <w:jc w:val="center"/>
      </w:pPr>
      <w:r>
        <w:rPr>
          <w:rFonts w:ascii="Aptos Display" w:cs="Aptos Display" w:eastAsia="Aptos Display" w:hAnsi="Aptos Display"/>
          <w:b/>
          <w:bCs/>
          <w:color w:val="1F3864"/>
          <w:sz w:val="56"/>
          <w:szCs w:val="56"/>
        </w:rPr>
        <w:t xml:space="preserve">APU HEALTH MONITOR</w:t>
      </w:r>
    </w:p>
    <w:p>
      <w:pPr>
        <w:spacing w:after="480"/>
        <w:jc w:val="center"/>
      </w:pPr>
      <w:r>
        <w:rPr>
          <w:rFonts w:ascii="Aptos Display" w:cs="Aptos Display" w:eastAsia="Aptos Display" w:hAnsi="Aptos Display"/>
          <w:color w:val="0F4761"/>
          <w:sz w:val="28"/>
          <w:szCs w:val="28"/>
        </w:rPr>
        <w:t xml:space="preserve">ADL-1700  —  Technical Implementation</w:t>
      </w:r>
    </w:p>
    <w:p>
      <w:pPr>
        <w:spacing w:after="120"/>
      </w:pPr>
    </w:p>
    <w:p>
      <w:pPr>
        <w:spacing w:after="80" w:before="120"/>
      </w:pPr>
      <w:r>
        <w:rPr>
          <w:rFonts w:ascii="Aptos" w:cs="Aptos" w:eastAsia="Aptos" w:hAnsi="Aptos"/>
          <w:b/>
          <w:bCs/>
          <w:sz w:val="24"/>
          <w:szCs w:val="24"/>
        </w:rPr>
        <w:t xml:space="preserve">Document Change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760"/>
        <w:gridCol w:w="2000"/>
        <w:gridCol w:w="1600"/>
        <w:gridCol w:w="1400"/>
      </w:tblGrid>
      <w:tr>
        <w:trPr>
          <w:tblHeader/>
        </w:trPr>
        <w:tc>
          <w:tcPr>
            <w:tcW w:type="dxa" w:w="1200"/>
            <w:tcBorders>
              <w:top w:val="single" w:color="808080" w:sz="4"/>
              <w:left w:val="single" w:color="808080" w:sz="4"/>
              <w:bottom w:val="single" w:color="808080" w:sz="4"/>
              <w:right w:val="single" w:color="808080" w:sz="4"/>
            </w:tcBorders>
            <w:shd w:fill="595959" w:color="auto" w:val="clear"/>
            <w:tcMar>
              <w:top w:type="dxa" w:w="60"/>
              <w:left w:type="dxa" w:w="120"/>
              <w:bottom w:type="dxa" w:w="60"/>
              <w:right w:type="dxa" w:w="120"/>
            </w:tcMar>
            <w:vAlign w:val="center"/>
          </w:tcPr>
          <w:p>
            <w:pPr>
              <w:jc w:val="center"/>
            </w:pPr>
            <w:r>
              <w:rPr>
                <w:rFonts w:ascii="Aptos" w:cs="Aptos" w:eastAsia="Aptos" w:hAnsi="Aptos"/>
                <w:b/>
                <w:bCs/>
                <w:color w:val="FFFFFF"/>
                <w:sz w:val="22"/>
                <w:szCs w:val="22"/>
              </w:rPr>
              <w:t xml:space="preserve">Version</w:t>
            </w:r>
          </w:p>
        </w:tc>
        <w:tc>
          <w:tcPr>
            <w:tcW w:type="dxa" w:w="1400"/>
            <w:tcBorders>
              <w:top w:val="single" w:color="808080" w:sz="4"/>
              <w:left w:val="single" w:color="808080" w:sz="4"/>
              <w:bottom w:val="single" w:color="808080" w:sz="4"/>
              <w:right w:val="single" w:color="808080" w:sz="4"/>
            </w:tcBorders>
            <w:shd w:fill="595959" w:color="auto" w:val="clear"/>
            <w:tcMar>
              <w:top w:type="dxa" w:w="60"/>
              <w:left w:type="dxa" w:w="120"/>
              <w:bottom w:type="dxa" w:w="60"/>
              <w:right w:type="dxa" w:w="120"/>
            </w:tcMar>
            <w:vAlign w:val="center"/>
          </w:tcPr>
          <w:p>
            <w:pPr>
              <w:jc w:val="center"/>
            </w:pPr>
            <w:r>
              <w:rPr>
                <w:rFonts w:ascii="Aptos" w:cs="Aptos" w:eastAsia="Aptos" w:hAnsi="Aptos"/>
                <w:b/>
                <w:bCs/>
                <w:color w:val="FFFFFF"/>
                <w:sz w:val="22"/>
                <w:szCs w:val="22"/>
              </w:rPr>
              <w:t xml:space="preserve">Date</w:t>
            </w:r>
          </w:p>
        </w:tc>
        <w:tc>
          <w:tcPr>
            <w:tcW w:type="dxa" w:w="1760"/>
            <w:tcBorders>
              <w:top w:val="single" w:color="808080" w:sz="4"/>
              <w:left w:val="single" w:color="808080" w:sz="4"/>
              <w:bottom w:val="single" w:color="808080" w:sz="4"/>
              <w:right w:val="single" w:color="808080" w:sz="4"/>
            </w:tcBorders>
            <w:shd w:fill="595959" w:color="auto" w:val="clear"/>
            <w:tcMar>
              <w:top w:type="dxa" w:w="60"/>
              <w:left w:type="dxa" w:w="120"/>
              <w:bottom w:type="dxa" w:w="60"/>
              <w:right w:type="dxa" w:w="120"/>
            </w:tcMar>
            <w:vAlign w:val="center"/>
          </w:tcPr>
          <w:p>
            <w:pPr>
              <w:jc w:val="center"/>
            </w:pPr>
            <w:r>
              <w:rPr>
                <w:rFonts w:ascii="Aptos" w:cs="Aptos" w:eastAsia="Aptos" w:hAnsi="Aptos"/>
                <w:b/>
                <w:bCs/>
                <w:color w:val="FFFFFF"/>
                <w:sz w:val="22"/>
                <w:szCs w:val="22"/>
              </w:rPr>
              <w:t xml:space="preserve">Reason for issue</w:t>
            </w:r>
          </w:p>
        </w:tc>
        <w:tc>
          <w:tcPr>
            <w:tcW w:type="dxa" w:w="2000"/>
            <w:tcBorders>
              <w:top w:val="single" w:color="808080" w:sz="4"/>
              <w:left w:val="single" w:color="808080" w:sz="4"/>
              <w:bottom w:val="single" w:color="808080" w:sz="4"/>
              <w:right w:val="single" w:color="808080" w:sz="4"/>
            </w:tcBorders>
            <w:shd w:fill="595959" w:color="auto" w:val="clear"/>
            <w:tcMar>
              <w:top w:type="dxa" w:w="60"/>
              <w:left w:type="dxa" w:w="120"/>
              <w:bottom w:type="dxa" w:w="60"/>
              <w:right w:type="dxa" w:w="120"/>
            </w:tcMar>
            <w:vAlign w:val="center"/>
          </w:tcPr>
          <w:p>
            <w:pPr>
              <w:jc w:val="center"/>
            </w:pPr>
            <w:r>
              <w:rPr>
                <w:rFonts w:ascii="Aptos" w:cs="Aptos" w:eastAsia="Aptos" w:hAnsi="Aptos"/>
                <w:b/>
                <w:bCs/>
                <w:color w:val="FFFFFF"/>
                <w:sz w:val="22"/>
                <w:szCs w:val="22"/>
              </w:rPr>
              <w:t xml:space="preserve">Changes Made</w:t>
            </w:r>
          </w:p>
        </w:tc>
        <w:tc>
          <w:tcPr>
            <w:tcW w:type="dxa" w:w="1600"/>
            <w:tcBorders>
              <w:top w:val="single" w:color="808080" w:sz="4"/>
              <w:left w:val="single" w:color="808080" w:sz="4"/>
              <w:bottom w:val="single" w:color="808080" w:sz="4"/>
              <w:right w:val="single" w:color="808080" w:sz="4"/>
            </w:tcBorders>
            <w:shd w:fill="595959" w:color="auto" w:val="clear"/>
            <w:tcMar>
              <w:top w:type="dxa" w:w="60"/>
              <w:left w:type="dxa" w:w="120"/>
              <w:bottom w:type="dxa" w:w="60"/>
              <w:right w:type="dxa" w:w="120"/>
            </w:tcMar>
            <w:vAlign w:val="center"/>
          </w:tcPr>
          <w:p>
            <w:pPr>
              <w:jc w:val="center"/>
            </w:pPr>
            <w:r>
              <w:rPr>
                <w:rFonts w:ascii="Aptos" w:cs="Aptos" w:eastAsia="Aptos" w:hAnsi="Aptos"/>
                <w:b/>
                <w:bCs/>
                <w:color w:val="FFFFFF"/>
                <w:sz w:val="22"/>
                <w:szCs w:val="22"/>
              </w:rPr>
              <w:t xml:space="preserve">Issued By</w:t>
            </w:r>
          </w:p>
        </w:tc>
        <w:tc>
          <w:tcPr>
            <w:tcW w:type="dxa" w:w="1400"/>
            <w:tcBorders>
              <w:top w:val="single" w:color="808080" w:sz="4"/>
              <w:left w:val="single" w:color="808080" w:sz="4"/>
              <w:bottom w:val="single" w:color="808080" w:sz="4"/>
              <w:right w:val="single" w:color="808080" w:sz="4"/>
            </w:tcBorders>
            <w:shd w:fill="595959" w:color="auto" w:val="clear"/>
            <w:tcMar>
              <w:top w:type="dxa" w:w="60"/>
              <w:left w:type="dxa" w:w="120"/>
              <w:bottom w:type="dxa" w:w="60"/>
              <w:right w:type="dxa" w:w="120"/>
            </w:tcMar>
            <w:vAlign w:val="center"/>
          </w:tcPr>
          <w:p>
            <w:pPr>
              <w:jc w:val="center"/>
            </w:pPr>
            <w:r>
              <w:rPr>
                <w:rFonts w:ascii="Aptos" w:cs="Aptos" w:eastAsia="Aptos" w:hAnsi="Aptos"/>
                <w:b/>
                <w:bCs/>
                <w:color w:val="FFFFFF"/>
                <w:sz w:val="22"/>
                <w:szCs w:val="22"/>
              </w:rPr>
              <w:t xml:space="preserve">Reviewed By</w:t>
            </w:r>
          </w:p>
        </w:tc>
      </w:tr>
      <w:tr>
        <w:tc>
          <w:tcPr>
            <w:tcW w:type="dxa" w:w="1200"/>
            <w:tcBorders>
              <w:top w:val="single" w:color="808080" w:sz="4"/>
              <w:left w:val="single" w:color="808080" w:sz="4"/>
              <w:bottom w:val="single" w:color="808080" w:sz="4"/>
              <w:right w:val="single" w:color="808080" w:sz="4"/>
            </w:tcBorders>
            <w:tcMar>
              <w:top w:type="dxa" w:w="60"/>
              <w:left w:type="dxa" w:w="120"/>
              <w:bottom w:type="dxa" w:w="60"/>
              <w:right w:type="dxa" w:w="120"/>
            </w:tcMar>
            <w:vAlign w:val="center"/>
          </w:tcPr>
          <w:p>
            <w:pPr>
              <w:jc w:val="center"/>
            </w:pPr>
            <w:r>
              <w:rPr>
                <w:rFonts w:ascii="Aptos" w:cs="Aptos" w:eastAsia="Aptos" w:hAnsi="Aptos"/>
                <w:b w:val="false"/>
                <w:bCs w:val="false"/>
                <w:color w:val="000000"/>
                <w:sz w:val="22"/>
                <w:szCs w:val="22"/>
              </w:rPr>
              <w:t xml:space="preserve">0.1</w:t>
            </w:r>
          </w:p>
        </w:tc>
        <w:tc>
          <w:tcPr>
            <w:tcW w:type="dxa" w:w="1400"/>
            <w:tcBorders>
              <w:top w:val="single" w:color="808080" w:sz="4"/>
              <w:left w:val="single" w:color="808080" w:sz="4"/>
              <w:bottom w:val="single" w:color="808080" w:sz="4"/>
              <w:right w:val="single" w:color="808080" w:sz="4"/>
            </w:tcBorders>
            <w:tcMar>
              <w:top w:type="dxa" w:w="60"/>
              <w:left w:type="dxa" w:w="120"/>
              <w:bottom w:type="dxa" w:w="60"/>
              <w:right w:type="dxa" w:w="120"/>
            </w:tcMar>
            <w:vAlign w:val="center"/>
          </w:tcPr>
          <w:p>
            <w:pPr>
              <w:jc w:val="center"/>
            </w:pPr>
            <w:r>
              <w:rPr>
                <w:rFonts w:ascii="Aptos" w:cs="Aptos" w:eastAsia="Aptos" w:hAnsi="Aptos"/>
                <w:b w:val="false"/>
                <w:bCs w:val="false"/>
                <w:color w:val="000000"/>
                <w:sz w:val="22"/>
                <w:szCs w:val="22"/>
              </w:rPr>
              <w:t xml:space="preserve">08-06-2026</w:t>
            </w:r>
          </w:p>
        </w:tc>
        <w:tc>
          <w:tcPr>
            <w:tcW w:type="dxa" w:w="1760"/>
            <w:tcBorders>
              <w:top w:val="single" w:color="808080" w:sz="4"/>
              <w:left w:val="single" w:color="808080" w:sz="4"/>
              <w:bottom w:val="single" w:color="808080" w:sz="4"/>
              <w:right w:val="single" w:color="808080" w:sz="4"/>
            </w:tcBorders>
            <w:tcMar>
              <w:top w:type="dxa" w:w="60"/>
              <w:left w:type="dxa" w:w="120"/>
              <w:bottom w:type="dxa" w:w="60"/>
              <w:right w:type="dxa" w:w="120"/>
            </w:tcMar>
            <w:vAlign w:val="center"/>
          </w:tcPr>
          <w:p>
            <w:pPr>
              <w:jc w:val="center"/>
            </w:pPr>
            <w:r>
              <w:rPr>
                <w:rFonts w:ascii="Aptos" w:cs="Aptos" w:eastAsia="Aptos" w:hAnsi="Aptos"/>
                <w:b w:val="false"/>
                <w:bCs w:val="false"/>
                <w:color w:val="000000"/>
                <w:sz w:val="22"/>
                <w:szCs w:val="22"/>
              </w:rPr>
              <w:t xml:space="preserve">Initial technical implementation</w:t>
            </w:r>
          </w:p>
        </w:tc>
        <w:tc>
          <w:tcPr>
            <w:tcW w:type="dxa" w:w="2000"/>
            <w:tcBorders>
              <w:top w:val="single" w:color="808080" w:sz="4"/>
              <w:left w:val="single" w:color="808080" w:sz="4"/>
              <w:bottom w:val="single" w:color="808080" w:sz="4"/>
              <w:right w:val="single" w:color="808080" w:sz="4"/>
            </w:tcBorders>
            <w:tcMar>
              <w:top w:type="dxa" w:w="60"/>
              <w:left w:type="dxa" w:w="120"/>
              <w:bottom w:type="dxa" w:w="60"/>
              <w:right w:type="dxa" w:w="120"/>
            </w:tcMar>
            <w:vAlign w:val="center"/>
          </w:tcPr>
          <w:p>
            <w:pPr>
              <w:jc w:val="center"/>
            </w:pPr>
            <w:r>
              <w:rPr>
                <w:rFonts w:ascii="Aptos" w:cs="Aptos" w:eastAsia="Aptos" w:hAnsi="Aptos"/>
                <w:b w:val="false"/>
                <w:bCs w:val="false"/>
                <w:color w:val="000000"/>
                <w:sz w:val="22"/>
                <w:szCs w:val="22"/>
              </w:rPr>
              <w:t xml:space="preserve">Initial draft</w:t>
            </w:r>
          </w:p>
        </w:tc>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vAlign w:val="center"/>
          </w:tcPr>
          <w:p>
            <w:pPr>
              <w:jc w:val="center"/>
            </w:pPr>
            <w:r>
              <w:rPr>
                <w:rFonts w:ascii="Aptos" w:cs="Aptos" w:eastAsia="Aptos" w:hAnsi="Aptos"/>
                <w:b w:val="false"/>
                <w:bCs w:val="false"/>
                <w:color w:val="000000"/>
                <w:sz w:val="22"/>
                <w:szCs w:val="22"/>
              </w:rPr>
              <w:t xml:space="preserve">DnT-DL Team</w:t>
            </w:r>
          </w:p>
        </w:tc>
        <w:tc>
          <w:tcPr>
            <w:tcW w:type="dxa" w:w="1400"/>
            <w:tcBorders>
              <w:top w:val="single" w:color="808080" w:sz="4"/>
              <w:left w:val="single" w:color="808080" w:sz="4"/>
              <w:bottom w:val="single" w:color="808080" w:sz="4"/>
              <w:right w:val="single" w:color="808080" w:sz="4"/>
            </w:tcBorders>
            <w:tcMar>
              <w:top w:type="dxa" w:w="60"/>
              <w:left w:type="dxa" w:w="120"/>
              <w:bottom w:type="dxa" w:w="60"/>
              <w:right w:type="dxa" w:w="120"/>
            </w:tcMar>
            <w:vAlign w:val="center"/>
          </w:tcPr>
          <w:p>
            <w:pPr>
              <w:jc w:val="left"/>
            </w:pPr>
            <w:r>
              <w:rPr>
                <w:rFonts w:ascii="Aptos" w:cs="Aptos" w:eastAsia="Aptos" w:hAnsi="Aptos"/>
                <w:b w:val="false"/>
                <w:bCs w:val="false"/>
                <w:color w:val="000000"/>
                <w:sz w:val="22"/>
                <w:szCs w:val="22"/>
              </w:rPr>
              <w:t xml:space="preserve"/>
            </w:r>
          </w:p>
        </w:tc>
      </w:tr>
    </w:tbl>
    <w:p>
      <w:pPr>
        <w:spacing w:after="200"/>
      </w:pPr>
    </w:p>
    <w:p>
      <w:pPr>
        <w:spacing w:after="80" w:before="120"/>
      </w:pPr>
      <w:r>
        <w:rPr>
          <w:rFonts w:ascii="Aptos" w:cs="Aptos" w:eastAsia="Aptos" w:hAnsi="Aptos"/>
          <w:b/>
          <w:bCs/>
          <w:sz w:val="24"/>
          <w:szCs w:val="24"/>
        </w:rPr>
        <w:t xml:space="preserve">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808080" w:sz="4"/>
              <w:left w:val="single" w:color="808080" w:sz="4"/>
              <w:bottom w:val="single" w:color="808080" w:sz="4"/>
              <w:right w:val="single" w:color="808080" w:sz="4"/>
            </w:tcBorders>
            <w:shd w:fill="595959" w:color="auto" w:val="clear"/>
            <w:tcMar>
              <w:top w:type="dxa" w:w="60"/>
              <w:left w:type="dxa" w:w="120"/>
              <w:bottom w:type="dxa" w:w="60"/>
              <w:right w:type="dxa" w:w="120"/>
            </w:tcMar>
            <w:vAlign w:val="center"/>
          </w:tcPr>
          <w:p>
            <w:pPr>
              <w:jc w:val="center"/>
            </w:pPr>
            <w:r>
              <w:rPr>
                <w:rFonts w:ascii="Aptos" w:cs="Aptos" w:eastAsia="Aptos" w:hAnsi="Aptos"/>
                <w:b/>
                <w:bCs/>
                <w:color w:val="FFFFFF"/>
                <w:sz w:val="22"/>
                <w:szCs w:val="22"/>
              </w:rPr>
              <w:t xml:space="preserve">Name</w:t>
            </w:r>
          </w:p>
        </w:tc>
        <w:tc>
          <w:tcPr>
            <w:tcW w:type="dxa" w:w="4560"/>
            <w:tcBorders>
              <w:top w:val="single" w:color="808080" w:sz="4"/>
              <w:left w:val="single" w:color="808080" w:sz="4"/>
              <w:bottom w:val="single" w:color="808080" w:sz="4"/>
              <w:right w:val="single" w:color="808080" w:sz="4"/>
            </w:tcBorders>
            <w:shd w:fill="595959" w:color="auto" w:val="clear"/>
            <w:tcMar>
              <w:top w:type="dxa" w:w="60"/>
              <w:left w:type="dxa" w:w="120"/>
              <w:bottom w:type="dxa" w:w="60"/>
              <w:right w:type="dxa" w:w="120"/>
            </w:tcMar>
            <w:vAlign w:val="center"/>
          </w:tcPr>
          <w:p>
            <w:pPr>
              <w:jc w:val="center"/>
            </w:pPr>
            <w:r>
              <w:rPr>
                <w:rFonts w:ascii="Aptos" w:cs="Aptos" w:eastAsia="Aptos" w:hAnsi="Aptos"/>
                <w:b/>
                <w:bCs/>
                <w:color w:val="FFFFFF"/>
                <w:sz w:val="22"/>
                <w:szCs w:val="22"/>
              </w:rPr>
              <w:t xml:space="preserve">Role</w:t>
            </w:r>
          </w:p>
        </w:tc>
        <w:tc>
          <w:tcPr>
            <w:tcW w:type="dxa" w:w="2400"/>
            <w:tcBorders>
              <w:top w:val="single" w:color="808080" w:sz="4"/>
              <w:left w:val="single" w:color="808080" w:sz="4"/>
              <w:bottom w:val="single" w:color="808080" w:sz="4"/>
              <w:right w:val="single" w:color="808080" w:sz="4"/>
            </w:tcBorders>
            <w:shd w:fill="595959" w:color="auto" w:val="clear"/>
            <w:tcMar>
              <w:top w:type="dxa" w:w="60"/>
              <w:left w:type="dxa" w:w="120"/>
              <w:bottom w:type="dxa" w:w="60"/>
              <w:right w:type="dxa" w:w="120"/>
            </w:tcMar>
            <w:vAlign w:val="center"/>
          </w:tcPr>
          <w:p>
            <w:pPr>
              <w:jc w:val="center"/>
            </w:pPr>
            <w:r>
              <w:rPr>
                <w:rFonts w:ascii="Aptos" w:cs="Aptos" w:eastAsia="Aptos" w:hAnsi="Aptos"/>
                <w:b/>
                <w:bCs/>
                <w:color w:val="FFFFFF"/>
                <w:sz w:val="22"/>
                <w:szCs w:val="22"/>
              </w:rPr>
              <w:t xml:space="preserve">Date</w:t>
            </w:r>
          </w:p>
        </w:tc>
      </w:tr>
      <w:tr>
        <w:tc>
          <w:tcPr>
            <w:tcW w:type="dxa" w:w="2400"/>
            <w:tcBorders>
              <w:top w:val="single" w:color="808080" w:sz="4"/>
              <w:left w:val="single" w:color="808080" w:sz="4"/>
              <w:bottom w:val="single" w:color="808080" w:sz="4"/>
              <w:right w:val="single" w:color="808080" w:sz="4"/>
            </w:tcBorders>
            <w:tcMar>
              <w:top w:type="dxa" w:w="60"/>
              <w:left w:type="dxa" w:w="120"/>
              <w:bottom w:type="dxa" w:w="60"/>
              <w:right w:type="dxa" w:w="120"/>
            </w:tcMar>
            <w:vAlign w:val="center"/>
          </w:tcPr>
          <w:p>
            <w:pPr>
              <w:jc w:val="left"/>
            </w:pPr>
            <w:r>
              <w:rPr>
                <w:rFonts w:ascii="Aptos" w:cs="Aptos" w:eastAsia="Aptos" w:hAnsi="Aptos"/>
                <w:b w:val="false"/>
                <w:bCs w:val="false"/>
                <w:color w:val="000000"/>
                <w:sz w:val="22"/>
                <w:szCs w:val="22"/>
              </w:rPr>
              <w:t xml:space="preserve"/>
            </w:r>
          </w:p>
        </w:tc>
        <w:tc>
          <w:tcPr>
            <w:tcW w:type="dxa" w:w="4560"/>
            <w:tcBorders>
              <w:top w:val="single" w:color="808080" w:sz="4"/>
              <w:left w:val="single" w:color="808080" w:sz="4"/>
              <w:bottom w:val="single" w:color="808080" w:sz="4"/>
              <w:right w:val="single" w:color="808080" w:sz="4"/>
            </w:tcBorders>
            <w:tcMar>
              <w:top w:type="dxa" w:w="60"/>
              <w:left w:type="dxa" w:w="120"/>
              <w:bottom w:type="dxa" w:w="60"/>
              <w:right w:type="dxa" w:w="120"/>
            </w:tcMar>
            <w:vAlign w:val="center"/>
          </w:tcPr>
          <w:p>
            <w:pPr>
              <w:jc w:val="left"/>
            </w:pPr>
            <w:r>
              <w:rPr>
                <w:rFonts w:ascii="Aptos" w:cs="Aptos" w:eastAsia="Aptos" w:hAnsi="Aptos"/>
                <w:b w:val="false"/>
                <w:bCs w:val="false"/>
                <w:color w:val="000000"/>
                <w:sz w:val="22"/>
                <w:szCs w:val="22"/>
              </w:rPr>
              <w:t xml:space="preserve"/>
            </w:r>
          </w:p>
        </w:tc>
        <w:tc>
          <w:tcPr>
            <w:tcW w:type="dxa" w:w="2400"/>
            <w:tcBorders>
              <w:top w:val="single" w:color="808080" w:sz="4"/>
              <w:left w:val="single" w:color="808080" w:sz="4"/>
              <w:bottom w:val="single" w:color="808080" w:sz="4"/>
              <w:right w:val="single" w:color="808080" w:sz="4"/>
            </w:tcBorders>
            <w:tcMar>
              <w:top w:type="dxa" w:w="60"/>
              <w:left w:type="dxa" w:w="120"/>
              <w:bottom w:type="dxa" w:w="60"/>
              <w:right w:type="dxa" w:w="120"/>
            </w:tcMar>
            <w:vAlign w:val="center"/>
          </w:tcPr>
          <w:p>
            <w:pPr>
              <w:jc w:val="left"/>
            </w:pPr>
            <w:r>
              <w:rPr>
                <w:rFonts w:ascii="Aptos" w:cs="Aptos" w:eastAsia="Aptos" w:hAnsi="Aptos"/>
                <w:b w:val="false"/>
                <w:bCs w:val="false"/>
                <w:color w:val="000000"/>
                <w:sz w:val="22"/>
                <w:szCs w:val="22"/>
              </w:rPr>
              <w:t xml:space="preserve"/>
            </w:r>
          </w:p>
        </w:tc>
      </w:tr>
    </w:tbl>
    <w:p>
      <w:pPr>
        <w:spacing w:after="160"/>
      </w:pPr>
    </w:p>
    <w:p>
      <w:pPr>
        <w:spacing w:after="80" w:before="120"/>
      </w:pPr>
      <w:r>
        <w:rPr>
          <w:rFonts w:ascii="Aptos" w:cs="Aptos" w:eastAsia="Aptos" w:hAnsi="Aptos"/>
          <w:b/>
          <w:bCs/>
          <w:sz w:val="24"/>
          <w:szCs w:val="24"/>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08080" w:sz="4"/>
              <w:left w:val="single" w:color="808080" w:sz="4"/>
              <w:bottom w:val="single" w:color="808080" w:sz="4"/>
              <w:right w:val="single" w:color="808080" w:sz="4"/>
            </w:tcBorders>
            <w:tcMar>
              <w:top w:type="dxa" w:w="60"/>
              <w:left w:type="dxa" w:w="120"/>
              <w:bottom w:type="dxa" w:w="60"/>
              <w:right w:type="dxa" w:w="120"/>
            </w:tcMar>
            <w:vAlign w:val="center"/>
          </w:tcPr>
          <w:p>
            <w:pPr>
              <w:jc w:val="left"/>
            </w:pPr>
            <w:r>
              <w:rPr>
                <w:rFonts w:ascii="Aptos" w:cs="Aptos" w:eastAsia="Aptos" w:hAnsi="Aptos"/>
                <w:b w:val="false"/>
                <w:bCs w:val="false"/>
                <w:color w:val="000000"/>
                <w:sz w:val="22"/>
                <w:szCs w:val="22"/>
              </w:rPr>
              <w:t xml:space="preserve">Classification</w:t>
            </w:r>
          </w:p>
        </w:tc>
        <w:tc>
          <w:tcPr>
            <w:tcW w:type="dxa" w:w="6560"/>
            <w:tcBorders>
              <w:top w:val="single" w:color="808080" w:sz="4"/>
              <w:left w:val="single" w:color="808080" w:sz="4"/>
              <w:bottom w:val="single" w:color="808080" w:sz="4"/>
              <w:right w:val="single" w:color="808080" w:sz="4"/>
            </w:tcBorders>
            <w:tcMar>
              <w:top w:type="dxa" w:w="60"/>
              <w:left w:type="dxa" w:w="120"/>
              <w:bottom w:type="dxa" w:w="60"/>
              <w:right w:type="dxa" w:w="120"/>
            </w:tcMar>
            <w:vAlign w:val="center"/>
          </w:tcPr>
          <w:p>
            <w:pPr>
              <w:jc w:val="left"/>
            </w:pPr>
            <w:r>
              <w:rPr>
                <w:rFonts w:ascii="Aptos" w:cs="Aptos" w:eastAsia="Aptos" w:hAnsi="Aptos"/>
                <w:b w:val="false"/>
                <w:bCs w:val="false"/>
                <w:color w:val="000000"/>
                <w:sz w:val="22"/>
                <w:szCs w:val="22"/>
              </w:rPr>
              <w:t xml:space="preserve">Internal</w:t>
            </w:r>
          </w:p>
        </w:tc>
      </w:tr>
      <w:tr>
        <w:tc>
          <w:tcPr>
            <w:tcW w:type="dxa" w:w="2800"/>
            <w:tcBorders>
              <w:top w:val="single" w:color="808080" w:sz="4"/>
              <w:left w:val="single" w:color="808080" w:sz="4"/>
              <w:bottom w:val="single" w:color="808080" w:sz="4"/>
              <w:right w:val="single" w:color="808080" w:sz="4"/>
            </w:tcBorders>
            <w:tcMar>
              <w:top w:type="dxa" w:w="60"/>
              <w:left w:type="dxa" w:w="120"/>
              <w:bottom w:type="dxa" w:w="60"/>
              <w:right w:type="dxa" w:w="120"/>
            </w:tcMar>
            <w:vAlign w:val="center"/>
          </w:tcPr>
          <w:p>
            <w:pPr>
              <w:jc w:val="left"/>
            </w:pPr>
            <w:r>
              <w:rPr>
                <w:rFonts w:ascii="Aptos" w:cs="Aptos" w:eastAsia="Aptos" w:hAnsi="Aptos"/>
                <w:b w:val="false"/>
                <w:bCs w:val="false"/>
                <w:color w:val="000000"/>
                <w:sz w:val="22"/>
                <w:szCs w:val="22"/>
              </w:rPr>
              <w:t xml:space="preserve">Document Location</w:t>
            </w:r>
          </w:p>
        </w:tc>
        <w:tc>
          <w:tcPr>
            <w:tcW w:type="dxa" w:w="6560"/>
            <w:tcBorders>
              <w:top w:val="single" w:color="808080" w:sz="4"/>
              <w:left w:val="single" w:color="808080" w:sz="4"/>
              <w:bottom w:val="single" w:color="808080" w:sz="4"/>
              <w:right w:val="single" w:color="808080" w:sz="4"/>
            </w:tcBorders>
            <w:tcMar>
              <w:top w:type="dxa" w:w="60"/>
              <w:left w:type="dxa" w:w="120"/>
              <w:bottom w:type="dxa" w:w="60"/>
              <w:right w:type="dxa" w:w="120"/>
            </w:tcMar>
          </w:tcPr>
          <w:p>
            <w:r>
              <w:rPr>
                <w:rFonts w:ascii="Aptos" w:cs="Aptos" w:eastAsia="Aptos" w:hAnsi="Aptos"/>
                <w:color w:val="4F81BD"/>
                <w:sz w:val="22"/>
                <w:szCs w:val="22"/>
                <w:u w:val="single"/>
              </w:rPr>
              <w:t xml:space="preserve">SharePoint IT Operations</w:t>
            </w:r>
          </w:p>
        </w:tc>
      </w:tr>
      <w:tr>
        <w:tc>
          <w:tcPr>
            <w:tcW w:type="dxa" w:w="2800"/>
            <w:tcBorders>
              <w:top w:val="single" w:color="808080" w:sz="4"/>
              <w:left w:val="single" w:color="808080" w:sz="4"/>
              <w:bottom w:val="single" w:color="808080" w:sz="4"/>
              <w:right w:val="single" w:color="808080" w:sz="4"/>
            </w:tcBorders>
            <w:tcMar>
              <w:top w:type="dxa" w:w="60"/>
              <w:left w:type="dxa" w:w="120"/>
              <w:bottom w:type="dxa" w:w="60"/>
              <w:right w:type="dxa" w:w="120"/>
            </w:tcMar>
            <w:vAlign w:val="center"/>
          </w:tcPr>
          <w:p>
            <w:pPr>
              <w:jc w:val="left"/>
            </w:pPr>
            <w:r>
              <w:rPr>
                <w:rFonts w:ascii="Aptos" w:cs="Aptos" w:eastAsia="Aptos" w:hAnsi="Aptos"/>
                <w:b w:val="false"/>
                <w:bCs w:val="false"/>
                <w:color w:val="000000"/>
                <w:sz w:val="22"/>
                <w:szCs w:val="22"/>
              </w:rPr>
              <w:t xml:space="preserve">Approval owner</w:t>
            </w:r>
          </w:p>
        </w:tc>
        <w:tc>
          <w:tcPr>
            <w:tcW w:type="dxa" w:w="6560"/>
            <w:tcBorders>
              <w:top w:val="single" w:color="808080" w:sz="4"/>
              <w:left w:val="single" w:color="808080" w:sz="4"/>
              <w:bottom w:val="single" w:color="808080" w:sz="4"/>
              <w:right w:val="single" w:color="808080" w:sz="4"/>
            </w:tcBorders>
            <w:tcMar>
              <w:top w:type="dxa" w:w="60"/>
              <w:left w:type="dxa" w:w="120"/>
              <w:bottom w:type="dxa" w:w="60"/>
              <w:right w:type="dxa" w:w="120"/>
            </w:tcMar>
            <w:vAlign w:val="center"/>
          </w:tcPr>
          <w:p>
            <w:pPr>
              <w:jc w:val="left"/>
            </w:pPr>
            <w:r>
              <w:rPr>
                <w:rFonts w:ascii="Aptos" w:cs="Aptos" w:eastAsia="Aptos" w:hAnsi="Aptos"/>
                <w:b w:val="false"/>
                <w:bCs w:val="false"/>
                <w:color w:val="000000"/>
                <w:sz w:val="22"/>
                <w:szCs w:val="22"/>
              </w:rPr>
              <w:t xml:space="preserve"/>
            </w:r>
          </w:p>
        </w:tc>
      </w:tr>
      <w:tr>
        <w:tc>
          <w:tcPr>
            <w:tcW w:type="dxa" w:w="2800"/>
            <w:tcBorders>
              <w:top w:val="single" w:color="808080" w:sz="4"/>
              <w:left w:val="single" w:color="808080" w:sz="4"/>
              <w:bottom w:val="single" w:color="808080" w:sz="4"/>
              <w:right w:val="single" w:color="808080" w:sz="4"/>
            </w:tcBorders>
            <w:tcMar>
              <w:top w:type="dxa" w:w="60"/>
              <w:left w:type="dxa" w:w="120"/>
              <w:bottom w:type="dxa" w:w="60"/>
              <w:right w:type="dxa" w:w="120"/>
            </w:tcMar>
            <w:vAlign w:val="center"/>
          </w:tcPr>
          <w:p>
            <w:pPr>
              <w:jc w:val="left"/>
            </w:pPr>
            <w:r>
              <w:rPr>
                <w:rFonts w:ascii="Aptos" w:cs="Aptos" w:eastAsia="Aptos" w:hAnsi="Aptos"/>
                <w:b w:val="false"/>
                <w:bCs w:val="false"/>
                <w:color w:val="000000"/>
                <w:sz w:val="22"/>
                <w:szCs w:val="22"/>
              </w:rPr>
              <w:t xml:space="preserve">Release Date</w:t>
            </w:r>
          </w:p>
        </w:tc>
        <w:tc>
          <w:tcPr>
            <w:tcW w:type="dxa" w:w="6560"/>
            <w:tcBorders>
              <w:top w:val="single" w:color="808080" w:sz="4"/>
              <w:left w:val="single" w:color="808080" w:sz="4"/>
              <w:bottom w:val="single" w:color="808080" w:sz="4"/>
              <w:right w:val="single" w:color="808080" w:sz="4"/>
            </w:tcBorders>
            <w:tcMar>
              <w:top w:type="dxa" w:w="60"/>
              <w:left w:type="dxa" w:w="120"/>
              <w:bottom w:type="dxa" w:w="60"/>
              <w:right w:type="dxa" w:w="120"/>
            </w:tcMar>
            <w:vAlign w:val="center"/>
          </w:tcPr>
          <w:p>
            <w:pPr>
              <w:jc w:val="left"/>
            </w:pPr>
            <w:r>
              <w:rPr>
                <w:rFonts w:ascii="Aptos" w:cs="Aptos" w:eastAsia="Aptos" w:hAnsi="Aptos"/>
                <w:b w:val="false"/>
                <w:bCs w:val="false"/>
                <w:color w:val="000000"/>
                <w:sz w:val="22"/>
                <w:szCs w:val="22"/>
              </w:rPr>
              <w:t xml:space="preserve"/>
            </w:r>
          </w:p>
        </w:tc>
      </w:tr>
      <w:tr>
        <w:tc>
          <w:tcPr>
            <w:tcW w:type="dxa" w:w="2800"/>
            <w:tcBorders>
              <w:top w:val="single" w:color="808080" w:sz="4"/>
              <w:left w:val="single" w:color="808080" w:sz="4"/>
              <w:bottom w:val="single" w:color="808080" w:sz="4"/>
              <w:right w:val="single" w:color="808080" w:sz="4"/>
            </w:tcBorders>
            <w:tcMar>
              <w:top w:type="dxa" w:w="60"/>
              <w:left w:type="dxa" w:w="120"/>
              <w:bottom w:type="dxa" w:w="60"/>
              <w:right w:type="dxa" w:w="120"/>
            </w:tcMar>
            <w:vAlign w:val="center"/>
          </w:tcPr>
          <w:p>
            <w:pPr>
              <w:jc w:val="left"/>
            </w:pPr>
            <w:r>
              <w:rPr>
                <w:rFonts w:ascii="Aptos" w:cs="Aptos" w:eastAsia="Aptos" w:hAnsi="Aptos"/>
                <w:b w:val="false"/>
                <w:bCs w:val="false"/>
                <w:color w:val="000000"/>
                <w:sz w:val="22"/>
                <w:szCs w:val="22"/>
              </w:rPr>
              <w:t xml:space="preserve">Next Review Date</w:t>
            </w:r>
          </w:p>
        </w:tc>
        <w:tc>
          <w:tcPr>
            <w:tcW w:type="dxa" w:w="6560"/>
            <w:tcBorders>
              <w:top w:val="single" w:color="808080" w:sz="4"/>
              <w:left w:val="single" w:color="808080" w:sz="4"/>
              <w:bottom w:val="single" w:color="808080" w:sz="4"/>
              <w:right w:val="single" w:color="808080" w:sz="4"/>
            </w:tcBorders>
            <w:tcMar>
              <w:top w:type="dxa" w:w="60"/>
              <w:left w:type="dxa" w:w="120"/>
              <w:bottom w:type="dxa" w:w="60"/>
              <w:right w:type="dxa" w:w="120"/>
            </w:tcMar>
            <w:vAlign w:val="center"/>
          </w:tcPr>
          <w:p>
            <w:pPr>
              <w:jc w:val="left"/>
            </w:pPr>
            <w:r>
              <w:rPr>
                <w:rFonts w:ascii="Aptos" w:cs="Aptos" w:eastAsia="Aptos" w:hAnsi="Aptos"/>
                <w:b w:val="false"/>
                <w:bCs w:val="false"/>
                <w:color w:val="000000"/>
                <w:sz w:val="22"/>
                <w:szCs w:val="22"/>
              </w:rPr>
              <w:t xml:space="preserve"/>
            </w:r>
          </w:p>
        </w:tc>
      </w:tr>
    </w:tbl>
    <w:p>
      <w:pPr>
        <w:spacing w:after="0" w:before="0"/>
      </w:pPr>
      <w:r>
        <w:drawing>
          <wp:anchor distT="0" distB="0" distL="0" distR="0" simplePos="0" allowOverlap="1" behindDoc="0" locked="0" layoutInCell="1" relativeHeight="1171575">
            <wp:simplePos x="0" y="0"/>
            <wp:positionH relativeFrom="page">
              <wp:posOffset>5000000</wp:posOffset>
            </wp:positionH>
            <wp:positionV relativeFrom="page">
              <wp:posOffset>8600000</wp:posOffset>
            </wp:positionV>
            <wp:extent cx="2190750" cy="1171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171575"/>
                    </a:xfrm>
                    <a:prstGeom prst="rect">
                      <a:avLst/>
                    </a:prstGeom>
                  </pic:spPr>
                </pic:pic>
              </a:graphicData>
            </a:graphic>
          </wp:anchor>
        </w:drawing>
      </w:r>
    </w:p>
    <w:p>
      <w:pPr>
        <w:sectPr>
          <w:pgSz w:w="12240" w:h="15840" w:orient="portrait"/>
          <w:pgMar w:top="1440" w:right="1440" w:bottom="1440" w:left="1440" w:header="708" w:footer="708" w:gutter="0"/>
          <w:pgNumType/>
          <w:docGrid w:linePitch="360"/>
        </w:sectPr>
      </w:pPr>
    </w:p>
    <w:p>
      <w:pPr>
        <w:spacing w:after="360" w:before="240"/>
        <w:jc w:val="center"/>
      </w:pPr>
      <w:r>
        <w:rPr>
          <w:rFonts w:ascii="Aptos Display" w:cs="Aptos Display" w:eastAsia="Aptos Display" w:hAnsi="Aptos Display"/>
          <w:b/>
          <w:bCs/>
          <w:color w:val="000000"/>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footerReference w:type="default" r:id="rId7"/>
          <w:type w:val="nextPage"/>
          <w:pgSz w:w="12240" w:h="15840" w:orient="portrait"/>
          <w:pgMar w:top="1440" w:right="1440" w:bottom="1440" w:left="1440" w:header="708" w:footer="708" w:gutter="0"/>
          <w:pgNumType/>
          <w:docGrid w:linePitch="360"/>
        </w:sectPr>
      </w:pPr>
    </w:p>
    <w:p>
      <w:pPr>
        <w:pStyle w:val="Heading1"/>
      </w:pPr>
      <w:r>
        <w:t xml:space="preserve">1. Project</w:t>
      </w:r>
    </w:p>
    <w:p>
      <w:pPr>
        <w:spacing w:after="160" w:line="264"/>
        <w:jc w:val="both"/>
      </w:pPr>
      <w:r>
        <w:rPr>
          <w:rFonts w:ascii="Aptos" w:cs="Aptos" w:eastAsia="Aptos" w:hAnsi="Aptos"/>
          <w:b w:val="false"/>
          <w:bCs w:val="false"/>
          <w:sz w:val="24"/>
          <w:szCs w:val="24"/>
        </w:rPr>
        <w:t xml:space="preserve">ASL Airlines — ADL DataLake Integration</w:t>
      </w:r>
    </w:p>
    <w:p>
      <w:pPr>
        <w:pStyle w:val="Heading1"/>
      </w:pPr>
      <w:r>
        <w:t xml:space="preserve">2. Team</w:t>
      </w:r>
    </w:p>
    <w:p>
      <w:pPr>
        <w:spacing w:after="160" w:line="264"/>
        <w:jc w:val="both"/>
      </w:pPr>
      <w:r>
        <w:rPr>
          <w:rFonts w:ascii="Aptos" w:cs="Aptos" w:eastAsia="Aptos" w:hAnsi="Aptos"/>
          <w:b w:val="false"/>
          <w:bCs w:val="false"/>
          <w:sz w:val="24"/>
          <w:szCs w:val="24"/>
        </w:rPr>
        <w:t xml:space="preserve">DataLake Team</w:t>
      </w:r>
    </w:p>
    <w:p>
      <w:pPr>
        <w:pStyle w:val="Heading1"/>
      </w:pPr>
      <w:r>
        <w:t xml:space="preserve">3. Stakeholders</w:t>
      </w:r>
    </w:p>
    <w:p>
      <w:pPr>
        <w:pStyle w:val="ListParagraph"/>
        <w:numPr>
          <w:ilvl w:val="0"/>
          <w:numId w:val="2"/>
        </w:numPr>
        <w:spacing w:after="60" w:line="264"/>
      </w:pPr>
      <w:r>
        <w:rPr>
          <w:rFonts w:ascii="Aptos" w:cs="Aptos" w:eastAsia="Aptos" w:hAnsi="Aptos"/>
          <w:sz w:val="24"/>
          <w:szCs w:val="24"/>
        </w:rPr>
        <w:t xml:space="preserve">Business Analyst – ASL Airlines Engineering</w:t>
      </w:r>
    </w:p>
    <w:p>
      <w:pPr>
        <w:pStyle w:val="ListParagraph"/>
        <w:numPr>
          <w:ilvl w:val="0"/>
          <w:numId w:val="2"/>
        </w:numPr>
        <w:spacing w:after="60" w:line="264"/>
      </w:pPr>
      <w:r>
        <w:rPr>
          <w:rFonts w:ascii="Aptos" w:cs="Aptos" w:eastAsia="Aptos" w:hAnsi="Aptos"/>
          <w:sz w:val="24"/>
          <w:szCs w:val="24"/>
        </w:rPr>
        <w:t xml:space="preserve">Data Engineer – DnT Infotech DataLake Team</w:t>
      </w:r>
    </w:p>
    <w:p>
      <w:pPr>
        <w:pStyle w:val="ListParagraph"/>
        <w:numPr>
          <w:ilvl w:val="0"/>
          <w:numId w:val="2"/>
        </w:numPr>
        <w:spacing w:after="60" w:line="264"/>
      </w:pPr>
      <w:r>
        <w:rPr>
          <w:rFonts w:ascii="Aptos" w:cs="Aptos" w:eastAsia="Aptos" w:hAnsi="Aptos"/>
          <w:sz w:val="24"/>
          <w:szCs w:val="24"/>
        </w:rPr>
        <w:t xml:space="preserve">Database Administrator – AMOS Acceptance Environment</w:t>
      </w:r>
    </w:p>
    <w:p>
      <w:pPr>
        <w:pStyle w:val="Heading1"/>
      </w:pPr>
      <w:r>
        <w:t xml:space="preserve">4. Initial Requirements</w:t>
      </w:r>
    </w:p>
    <w:p>
      <w:pPr>
        <w:spacing w:after="160" w:line="264"/>
        <w:jc w:val="both"/>
      </w:pPr>
      <w:r>
        <w:rPr>
          <w:rFonts w:ascii="Aptos" w:cs="Aptos" w:eastAsia="Aptos" w:hAnsi="Aptos"/>
          <w:b w:val="false"/>
          <w:bCs w:val="false"/>
          <w:sz w:val="24"/>
          <w:szCs w:val="24"/>
        </w:rPr>
        <w:t xml:space="preserve">ASL Airlines requires APU performance monitoring capability for their B737NG fleet. The APU Health Monitor query will retrieve current APU health metrics from the AMOS maintenance database, enabling engineering teams to track APU condition trends and support predictive maintenance planning.</w:t>
      </w:r>
    </w:p>
    <w:p>
      <w:pPr>
        <w:pStyle w:val="ListParagraph"/>
        <w:numPr>
          <w:ilvl w:val="0"/>
          <w:numId w:val="2"/>
        </w:numPr>
        <w:spacing w:after="60" w:line="264"/>
      </w:pPr>
      <w:r>
        <w:rPr>
          <w:rFonts w:ascii="Aptos" w:cs="Aptos" w:eastAsia="Aptos" w:hAnsi="Aptos"/>
          <w:sz w:val="24"/>
          <w:szCs w:val="24"/>
        </w:rPr>
        <w:t xml:space="preserve">Retrieve APU performance data (part numbers, serial numbers, PSN identifiers) for all B737NG aircraft</w:t>
      </w:r>
    </w:p>
    <w:p>
      <w:pPr>
        <w:pStyle w:val="ListParagraph"/>
        <w:numPr>
          <w:ilvl w:val="0"/>
          <w:numId w:val="2"/>
        </w:numPr>
        <w:spacing w:after="60" w:line="264"/>
      </w:pPr>
      <w:r>
        <w:rPr>
          <w:rFonts w:ascii="Aptos" w:cs="Aptos" w:eastAsia="Aptos" w:hAnsi="Aptos"/>
          <w:sz w:val="24"/>
          <w:szCs w:val="24"/>
        </w:rPr>
        <w:t xml:space="preserve">Join rotables and rotables_trend tables to correlate APU configuration with CT5 trend data</w:t>
      </w:r>
    </w:p>
    <w:p>
      <w:pPr>
        <w:pStyle w:val="ListParagraph"/>
        <w:numPr>
          <w:ilvl w:val="0"/>
          <w:numId w:val="2"/>
        </w:numPr>
        <w:spacing w:after="60" w:line="264"/>
      </w:pPr>
      <w:r>
        <w:rPr>
          <w:rFonts w:ascii="Aptos" w:cs="Aptos" w:eastAsia="Aptos" w:hAnsi="Aptos"/>
          <w:sz w:val="24"/>
          <w:szCs w:val="24"/>
        </w:rPr>
        <w:t xml:space="preserve">Provide latest reference date snapshot for each APU with associated CT5ATP values</w:t>
      </w:r>
    </w:p>
    <w:p>
      <w:pPr>
        <w:pStyle w:val="ListParagraph"/>
        <w:numPr>
          <w:ilvl w:val="0"/>
          <w:numId w:val="2"/>
        </w:numPr>
        <w:spacing w:after="60" w:line="264"/>
      </w:pPr>
      <w:r>
        <w:rPr>
          <w:rFonts w:ascii="Aptos" w:cs="Aptos" w:eastAsia="Aptos" w:hAnsi="Aptos"/>
          <w:sz w:val="24"/>
          <w:szCs w:val="24"/>
        </w:rPr>
        <w:t xml:space="preserve">Include workorder information and aircraft registration for operational context</w:t>
      </w:r>
    </w:p>
    <w:p>
      <w:pPr>
        <w:pStyle w:val="Heading1"/>
      </w:pPr>
      <w:r>
        <w:t xml:space="preserve">5. Additional Requirements</w:t>
      </w:r>
    </w:p>
    <w:p>
      <w:pPr>
        <w:pStyle w:val="ListParagraph"/>
        <w:numPr>
          <w:ilvl w:val="0"/>
          <w:numId w:val="2"/>
        </w:numPr>
        <w:spacing w:after="60" w:line="264"/>
      </w:pPr>
      <w:r>
        <w:rPr>
          <w:rFonts w:ascii="Aptos" w:cs="Aptos" w:eastAsia="Aptos" w:hAnsi="Aptos"/>
          <w:sz w:val="24"/>
          <w:szCs w:val="24"/>
        </w:rPr>
        <w:t xml:space="preserve">Filter to B737NG aircraft type only; exclude all other aircraft types</w:t>
      </w:r>
    </w:p>
    <w:p>
      <w:pPr>
        <w:pStyle w:val="ListParagraph"/>
        <w:numPr>
          <w:ilvl w:val="0"/>
          <w:numId w:val="2"/>
        </w:numPr>
        <w:spacing w:after="60" w:line="264"/>
      </w:pPr>
      <w:r>
        <w:rPr>
          <w:rFonts w:ascii="Aptos" w:cs="Aptos" w:eastAsia="Aptos" w:hAnsi="Aptos"/>
          <w:sz w:val="24"/>
          <w:szCs w:val="24"/>
        </w:rPr>
        <w:t xml:space="preserve">Retain only CT5 trend type records; exclude other trend types</w:t>
      </w:r>
    </w:p>
    <w:p>
      <w:pPr>
        <w:pStyle w:val="ListParagraph"/>
        <w:numPr>
          <w:ilvl w:val="0"/>
          <w:numId w:val="2"/>
        </w:numPr>
        <w:spacing w:after="60" w:line="264"/>
      </w:pPr>
      <w:r>
        <w:rPr>
          <w:rFonts w:ascii="Aptos" w:cs="Aptos" w:eastAsia="Aptos" w:hAnsi="Aptos"/>
          <w:sz w:val="24"/>
          <w:szCs w:val="24"/>
        </w:rPr>
        <w:t xml:space="preserve">For each unique APU (PSN), select the single row with the maximum ref_date to ensure latest data only</w:t>
      </w:r>
    </w:p>
    <w:p>
      <w:pPr>
        <w:pStyle w:val="ListParagraph"/>
        <w:numPr>
          <w:ilvl w:val="0"/>
          <w:numId w:val="2"/>
        </w:numPr>
        <w:spacing w:after="60" w:line="264"/>
      </w:pPr>
      <w:r>
        <w:rPr>
          <w:rFonts w:ascii="Aptos" w:cs="Aptos" w:eastAsia="Aptos" w:hAnsi="Aptos"/>
          <w:sz w:val="24"/>
          <w:szCs w:val="24"/>
        </w:rPr>
        <w:t xml:space="preserve">Include workorder information (event_perfno_i) when present; null values are acceptable</w:t>
      </w:r>
    </w:p>
    <w:p>
      <w:pPr>
        <w:pStyle w:val="ListParagraph"/>
        <w:numPr>
          <w:ilvl w:val="0"/>
          <w:numId w:val="2"/>
        </w:numPr>
        <w:spacing w:after="60" w:line="264"/>
      </w:pPr>
      <w:r>
        <w:rPr>
          <w:rFonts w:ascii="Aptos" w:cs="Aptos" w:eastAsia="Aptos" w:hAnsi="Aptos"/>
          <w:sz w:val="24"/>
          <w:szCs w:val="24"/>
        </w:rPr>
        <w:t xml:space="preserve">Exclude APUs with missing or null PSN, serialno, or partno values</w:t>
      </w:r>
    </w:p>
    <w:p>
      <w:pPr>
        <w:pStyle w:val="ListParagraph"/>
        <w:numPr>
          <w:ilvl w:val="0"/>
          <w:numId w:val="2"/>
        </w:numPr>
        <w:spacing w:after="60" w:line="264"/>
      </w:pPr>
      <w:r>
        <w:rPr>
          <w:rFonts w:ascii="Aptos" w:cs="Aptos" w:eastAsia="Aptos" w:hAnsi="Aptos"/>
          <w:sz w:val="24"/>
          <w:szCs w:val="24"/>
        </w:rPr>
        <w:t xml:space="preserve">Exclude records where ref_date is null</w:t>
      </w:r>
    </w:p>
    <w:p>
      <w:pPr>
        <w:pStyle w:val="ListParagraph"/>
        <w:numPr>
          <w:ilvl w:val="0"/>
          <w:numId w:val="2"/>
        </w:numPr>
        <w:spacing w:after="60" w:line="264"/>
      </w:pPr>
      <w:r>
        <w:rPr>
          <w:rFonts w:ascii="Aptos" w:cs="Aptos" w:eastAsia="Aptos" w:hAnsi="Aptos"/>
          <w:sz w:val="24"/>
          <w:szCs w:val="24"/>
        </w:rPr>
        <w:t xml:space="preserve">All output fields must be populated except event_perfno_i which may be null</w:t>
      </w:r>
    </w:p>
    <w:p>
      <w:pPr>
        <w:pStyle w:val="Heading1"/>
      </w:pPr>
      <w:r>
        <w:t xml:space="preserve">6.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4F81BD" w:sz="6"/>
              <w:left w:val="single" w:color="4F81BD" w:sz="6"/>
              <w:bottom w:val="single" w:color="4F81BD" w:sz="6"/>
              <w:right w:val="single" w:color="4F81BD" w:sz="6"/>
            </w:tcBorders>
            <w:shd w:fill="95B3D7" w:color="auto" w:val="clear"/>
            <w:tcMar>
              <w:top w:type="dxa" w:w="60"/>
              <w:left w:type="dxa" w:w="120"/>
              <w:bottom w:type="dxa" w:w="60"/>
              <w:right w:type="dxa" w:w="120"/>
            </w:tcMar>
            <w:vAlign w:val="center"/>
          </w:tcPr>
          <w:p>
            <w:pPr>
              <w:jc w:val="center"/>
            </w:pPr>
            <w:r>
              <w:rPr>
                <w:rFonts w:ascii="Aptos" w:cs="Aptos" w:eastAsia="Aptos" w:hAnsi="Aptos"/>
                <w:b/>
                <w:bCs/>
                <w:color w:val="000000"/>
                <w:sz w:val="22"/>
                <w:szCs w:val="22"/>
              </w:rPr>
              <w:t xml:space="preserve">Risk</w:t>
            </w:r>
          </w:p>
        </w:tc>
        <w:tc>
          <w:tcPr>
            <w:tcW w:type="dxa" w:w="5360"/>
            <w:tcBorders>
              <w:top w:val="single" w:color="4F81BD" w:sz="6"/>
              <w:left w:val="single" w:color="4F81BD" w:sz="6"/>
              <w:bottom w:val="single" w:color="4F81BD" w:sz="6"/>
              <w:right w:val="single" w:color="4F81BD" w:sz="6"/>
            </w:tcBorders>
            <w:shd w:fill="95B3D7" w:color="auto" w:val="clear"/>
            <w:tcMar>
              <w:top w:type="dxa" w:w="60"/>
              <w:left w:type="dxa" w:w="120"/>
              <w:bottom w:type="dxa" w:w="60"/>
              <w:right w:type="dxa" w:w="120"/>
            </w:tcMar>
            <w:vAlign w:val="center"/>
          </w:tcPr>
          <w:p>
            <w:pPr>
              <w:jc w:val="center"/>
            </w:pPr>
            <w:r>
              <w:rPr>
                <w:rFonts w:ascii="Aptos" w:cs="Aptos" w:eastAsia="Aptos" w:hAnsi="Aptos"/>
                <w:b/>
                <w:bCs/>
                <w:color w:val="000000"/>
                <w:sz w:val="22"/>
                <w:szCs w:val="22"/>
              </w:rPr>
              <w:t xml:space="preserve">Mitigation</w:t>
            </w:r>
          </w:p>
        </w:tc>
      </w:tr>
      <w:tr>
        <w:tc>
          <w:tcPr>
            <w:tcW w:type="dxa" w:w="40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Source tables (rotables, rotables_trend, aircraft) unavailable or corrupted in AMOS Acceptance</w:t>
            </w:r>
          </w:p>
        </w:tc>
        <w:tc>
          <w:tcPr>
            <w:tcW w:type="dxa" w:w="53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Validate table availability and row counts before query execution; establish data refresh schedule with AMOS team; maintain backup query logs</w:t>
            </w:r>
          </w:p>
        </w:tc>
      </w:tr>
      <w:tr>
        <w:tc>
          <w:tcPr>
            <w:tcW w:type="dxa" w:w="40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Duplicate PSN records with same ref_date causing non-deterministic row selection</w:t>
            </w:r>
          </w:p>
        </w:tc>
        <w:tc>
          <w:tcPr>
            <w:tcW w:type="dxa" w:w="53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Apply deterministic tie-breaking logic (e.g., ORDER BY psn, serialno) when selecting maximum ref_date; document selection criteria in query comments</w:t>
            </w:r>
          </w:p>
        </w:tc>
      </w:tr>
      <w:tr>
        <w:tc>
          <w:tcPr>
            <w:tcW w:type="dxa" w:w="40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Performance degradation on large rotables_trend table with millions of rows</w:t>
            </w:r>
          </w:p>
        </w:tc>
        <w:tc>
          <w:tcPr>
            <w:tcW w:type="dxa" w:w="53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Create indexes on psn, trend_type, and ref_date columns; use window functions (ROW_NUMBER) for efficient deduplication; test query performance in acceptance environment</w:t>
            </w:r>
          </w:p>
        </w:tc>
      </w:tr>
      <w:tr>
        <w:tc>
          <w:tcPr>
            <w:tcW w:type="dxa" w:w="40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Missing or inconsistent aircraft type values preventing B737NG filter accuracy</w:t>
            </w:r>
          </w:p>
        </w:tc>
        <w:tc>
          <w:tcPr>
            <w:tcW w:type="dxa" w:w="53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Validate aircraft.ac_typ values against ASL aircraft master list; implement data quality checks pre-query; document any aircraft type aliases or variations</w:t>
            </w:r>
          </w:p>
        </w:tc>
      </w:tr>
      <w:tr>
        <w:tc>
          <w:tcPr>
            <w:tcW w:type="dxa" w:w="40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Null values in critical fields (partno, serialno, psn) causing incomplete APU identification</w:t>
            </w:r>
          </w:p>
        </w:tc>
        <w:tc>
          <w:tcPr>
            <w:tcW w:type="dxa" w:w="53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Apply NOT NULL filters on partno, serialno, psn in WHERE clause; log and report records with missing critical fields separately</w:t>
            </w:r>
          </w:p>
        </w:tc>
      </w:tr>
    </w:tbl>
    <w:p>
      <w:pPr>
        <w:pStyle w:val="Heading1"/>
      </w:pPr>
      <w:r>
        <w:t xml:space="preserve">7. Process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4F81BD" w:sz="6"/>
              <w:left w:val="single" w:color="4F81BD" w:sz="6"/>
              <w:bottom w:val="single" w:color="4F81BD" w:sz="6"/>
              <w:right w:val="single" w:color="4F81BD" w:sz="6"/>
            </w:tcBorders>
            <w:shd w:fill="95B3D7" w:color="auto" w:val="clear"/>
            <w:tcMar>
              <w:top w:type="dxa" w:w="60"/>
              <w:left w:type="dxa" w:w="120"/>
              <w:bottom w:type="dxa" w:w="60"/>
              <w:right w:type="dxa" w:w="120"/>
            </w:tcMar>
            <w:vAlign w:val="center"/>
          </w:tcPr>
          <w:p>
            <w:pPr>
              <w:jc w:val="center"/>
            </w:pPr>
            <w:r>
              <w:rPr>
                <w:rFonts w:ascii="Aptos" w:cs="Aptos" w:eastAsia="Aptos" w:hAnsi="Aptos"/>
                <w:b/>
                <w:bCs/>
                <w:color w:val="000000"/>
                <w:sz w:val="22"/>
                <w:szCs w:val="22"/>
              </w:rPr>
              <w:t xml:space="preserve">Issue</w:t>
            </w:r>
          </w:p>
        </w:tc>
        <w:tc>
          <w:tcPr>
            <w:tcW w:type="dxa" w:w="5360"/>
            <w:tcBorders>
              <w:top w:val="single" w:color="4F81BD" w:sz="6"/>
              <w:left w:val="single" w:color="4F81BD" w:sz="6"/>
              <w:bottom w:val="single" w:color="4F81BD" w:sz="6"/>
              <w:right w:val="single" w:color="4F81BD" w:sz="6"/>
            </w:tcBorders>
            <w:shd w:fill="95B3D7" w:color="auto" w:val="clear"/>
            <w:tcMar>
              <w:top w:type="dxa" w:w="60"/>
              <w:left w:type="dxa" w:w="120"/>
              <w:bottom w:type="dxa" w:w="60"/>
              <w:right w:type="dxa" w:w="120"/>
            </w:tcMar>
            <w:vAlign w:val="center"/>
          </w:tcPr>
          <w:p>
            <w:pPr>
              <w:jc w:val="center"/>
            </w:pPr>
            <w:r>
              <w:rPr>
                <w:rFonts w:ascii="Aptos" w:cs="Aptos" w:eastAsia="Aptos" w:hAnsi="Aptos"/>
                <w:b/>
                <w:bCs/>
                <w:color w:val="000000"/>
                <w:sz w:val="22"/>
                <w:szCs w:val="22"/>
              </w:rPr>
              <w:t xml:space="preserve">Mitigation</w:t>
            </w:r>
          </w:p>
        </w:tc>
      </w:tr>
      <w:tr>
        <w:tc>
          <w:tcPr>
            <w:tcW w:type="dxa" w:w="40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AMOS Acceptance database unavailable or offline</w:t>
            </w:r>
          </w:p>
        </w:tc>
        <w:tc>
          <w:tcPr>
            <w:tcW w:type="dxa" w:w="53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Redirect query execution to AMOS Production environment if approved by DBA; maintain query documentation for manual data extraction fallback; notify stakeholders of data freshness impact</w:t>
            </w:r>
          </w:p>
        </w:tc>
      </w:tr>
      <w:tr>
        <w:tc>
          <w:tcPr>
            <w:tcW w:type="dxa" w:w="40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rotables_trend table missing CT5 records for a given date range</w:t>
            </w:r>
          </w:p>
        </w:tc>
        <w:tc>
          <w:tcPr>
            <w:tcW w:type="dxa" w:w="53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Query will return empty result set; implement monitoring alert for zero-row output; escalate to AMOS data steward to verify data load completion</w:t>
            </w:r>
          </w:p>
        </w:tc>
      </w:tr>
      <w:tr>
        <w:tc>
          <w:tcPr>
            <w:tcW w:type="dxa" w:w="40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VDS unavailable in Dremio due to refresh failure or corruption</w:t>
            </w:r>
          </w:p>
        </w:tc>
        <w:tc>
          <w:tcPr>
            <w:tcW w:type="dxa" w:w="53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Restore VDS from last successful backup; re-execute query against source tables to rebuild output; maintain 7-day query execution log for audit trail</w:t>
            </w:r>
          </w:p>
        </w:tc>
      </w:tr>
      <w:tr>
        <w:tc>
          <w:tcPr>
            <w:tcW w:type="dxa" w:w="40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Aircraft table missing B737NG aircraft registrations</w:t>
            </w:r>
          </w:p>
        </w:tc>
        <w:tc>
          <w:tcPr>
            <w:tcW w:type="dxa" w:w="53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Validate aircraft master data completeness; cross-reference with ASL fleet manifest; implement data quality dashboard to flag missing aircraft records</w:t>
            </w:r>
          </w:p>
        </w:tc>
      </w:tr>
    </w:tbl>
    <w:p>
      <w:pPr>
        <w:pStyle w:val="Heading1"/>
      </w:pPr>
      <w:r>
        <w:t xml:space="preserve">8. Implementation</w:t>
      </w:r>
    </w:p>
    <w:p>
      <w:pPr>
        <w:pStyle w:val="Heading2"/>
      </w:pPr>
      <w:r>
        <w:t xml:space="preserve">8.1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4F81BD" w:sz="6"/>
              <w:left w:val="single" w:color="4F81BD" w:sz="6"/>
              <w:bottom w:val="single" w:color="4F81BD" w:sz="6"/>
              <w:right w:val="single" w:color="4F81BD" w:sz="6"/>
            </w:tcBorders>
            <w:shd w:fill="95B3D7" w:color="auto" w:val="clear"/>
            <w:tcMar>
              <w:top w:type="dxa" w:w="60"/>
              <w:left w:type="dxa" w:w="120"/>
              <w:bottom w:type="dxa" w:w="60"/>
              <w:right w:type="dxa" w:w="120"/>
            </w:tcMar>
            <w:vAlign w:val="center"/>
          </w:tcPr>
          <w:p>
            <w:pPr>
              <w:jc w:val="center"/>
            </w:pPr>
            <w:r>
              <w:rPr>
                <w:rFonts w:ascii="Aptos" w:cs="Aptos" w:eastAsia="Aptos" w:hAnsi="Aptos"/>
                <w:b/>
                <w:bCs/>
                <w:color w:val="000000"/>
                <w:sz w:val="22"/>
                <w:szCs w:val="22"/>
              </w:rPr>
              <w:t xml:space="preserve">Table Name</w:t>
            </w:r>
          </w:p>
        </w:tc>
        <w:tc>
          <w:tcPr>
            <w:tcW w:type="dxa" w:w="3360"/>
            <w:tcBorders>
              <w:top w:val="single" w:color="4F81BD" w:sz="6"/>
              <w:left w:val="single" w:color="4F81BD" w:sz="6"/>
              <w:bottom w:val="single" w:color="4F81BD" w:sz="6"/>
              <w:right w:val="single" w:color="4F81BD" w:sz="6"/>
            </w:tcBorders>
            <w:shd w:fill="95B3D7" w:color="auto" w:val="clear"/>
            <w:tcMar>
              <w:top w:type="dxa" w:w="60"/>
              <w:left w:type="dxa" w:w="120"/>
              <w:bottom w:type="dxa" w:w="60"/>
              <w:right w:type="dxa" w:w="120"/>
            </w:tcMar>
            <w:vAlign w:val="center"/>
          </w:tcPr>
          <w:p>
            <w:pPr>
              <w:jc w:val="center"/>
            </w:pPr>
            <w:r>
              <w:rPr>
                <w:rFonts w:ascii="Aptos" w:cs="Aptos" w:eastAsia="Aptos" w:hAnsi="Aptos"/>
                <w:b/>
                <w:bCs/>
                <w:color w:val="000000"/>
                <w:sz w:val="22"/>
                <w:szCs w:val="22"/>
              </w:rPr>
              <w:t xml:space="preserve">Full Path</w:t>
            </w:r>
          </w:p>
        </w:tc>
        <w:tc>
          <w:tcPr>
            <w:tcW w:type="dxa" w:w="4200"/>
            <w:tcBorders>
              <w:top w:val="single" w:color="4F81BD" w:sz="6"/>
              <w:left w:val="single" w:color="4F81BD" w:sz="6"/>
              <w:bottom w:val="single" w:color="4F81BD" w:sz="6"/>
              <w:right w:val="single" w:color="4F81BD" w:sz="6"/>
            </w:tcBorders>
            <w:shd w:fill="95B3D7" w:color="auto" w:val="clear"/>
            <w:tcMar>
              <w:top w:type="dxa" w:w="60"/>
              <w:left w:type="dxa" w:w="120"/>
              <w:bottom w:type="dxa" w:w="60"/>
              <w:right w:type="dxa" w:w="120"/>
            </w:tcMar>
            <w:vAlign w:val="center"/>
          </w:tcPr>
          <w:p>
            <w:pPr>
              <w:jc w:val="center"/>
            </w:pPr>
            <w:r>
              <w:rPr>
                <w:rFonts w:ascii="Aptos" w:cs="Aptos" w:eastAsia="Aptos" w:hAnsi="Aptos"/>
                <w:b/>
                <w:bCs/>
                <w:color w:val="000000"/>
                <w:sz w:val="22"/>
                <w:szCs w:val="22"/>
              </w:rPr>
              <w:t xml:space="preserve">Description</w:t>
            </w:r>
          </w:p>
        </w:tc>
      </w:tr>
      <w:tr>
        <w:tc>
          <w:tcPr>
            <w:tcW w:type="dxa" w:w="18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b/>
                <w:bCs/>
                <w:sz w:val="22"/>
                <w:szCs w:val="22"/>
              </w:rPr>
              <w:t xml:space="preserve">rotables</w:t>
            </w:r>
          </w:p>
        </w:tc>
        <w:tc>
          <w:tcPr>
            <w:tcW w:type="dxa" w:w="33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amos_acceptance.amos.rotables</w:t>
            </w:r>
          </w:p>
        </w:tc>
        <w:tc>
          <w:tcPr>
            <w:tcW w:type="dxa" w:w="42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APU configuration data including part numbers, serial numbers, and PSN identifiers for all rotable components</w:t>
            </w:r>
          </w:p>
        </w:tc>
      </w:tr>
      <w:tr>
        <w:tc>
          <w:tcPr>
            <w:tcW w:type="dxa" w:w="18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b/>
                <w:bCs/>
                <w:sz w:val="22"/>
                <w:szCs w:val="22"/>
              </w:rPr>
              <w:t xml:space="preserve">rotables_trend</w:t>
            </w:r>
          </w:p>
        </w:tc>
        <w:tc>
          <w:tcPr>
            <w:tcW w:type="dxa" w:w="33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amos_acceptance.amos.rotables_trend</w:t>
            </w:r>
          </w:p>
        </w:tc>
        <w:tc>
          <w:tcPr>
            <w:tcW w:type="dxa" w:w="42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APU performance trend data including CT5 measurements, reference dates, and workorder associations</w:t>
            </w:r>
          </w:p>
        </w:tc>
      </w:tr>
      <w:tr>
        <w:tc>
          <w:tcPr>
            <w:tcW w:type="dxa" w:w="18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b/>
                <w:bCs/>
                <w:sz w:val="22"/>
                <w:szCs w:val="22"/>
              </w:rPr>
              <w:t xml:space="preserve">aircraft</w:t>
            </w:r>
          </w:p>
        </w:tc>
        <w:tc>
          <w:tcPr>
            <w:tcW w:type="dxa" w:w="33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amos_acceptance.amos.aircraft</w:t>
            </w:r>
          </w:p>
        </w:tc>
        <w:tc>
          <w:tcPr>
            <w:tcW w:type="dxa" w:w="42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Aircraft master data including registration, aircraft type, and fleet information</w:t>
            </w:r>
          </w:p>
        </w:tc>
      </w:tr>
    </w:tbl>
    <w:p>
      <w:pPr>
        <w:spacing w:after="120"/>
      </w:pPr>
    </w:p>
    <w:p>
      <w:pPr>
        <w:pStyle w:val="Heading2"/>
      </w:pPr>
      <w:r>
        <w:t xml:space="preserve">8.2 Interface Process</w:t>
      </w:r>
    </w:p>
    <w:p>
      <w:pPr>
        <w:spacing w:after="100" w:line="264"/>
        <w:jc w:val="left"/>
      </w:pPr>
      <w:r>
        <w:rPr>
          <w:rFonts w:ascii="Aptos" w:cs="Aptos" w:eastAsia="Aptos" w:hAnsi="Aptos"/>
          <w:b/>
          <w:bCs/>
          <w:sz w:val="24"/>
          <w:szCs w:val="24"/>
        </w:rPr>
        <w:t xml:space="preserve">APU Health Monitor Query</w:t>
      </w:r>
    </w:p>
    <w:p>
      <w:pPr>
        <w:pStyle w:val="ListParagraph"/>
        <w:numPr>
          <w:ilvl w:val="0"/>
          <w:numId w:val="2"/>
        </w:numPr>
        <w:spacing w:after="60" w:line="264"/>
      </w:pPr>
      <w:r>
        <w:rPr>
          <w:rFonts w:ascii="Aptos" w:cs="Aptos" w:eastAsia="Aptos" w:hAnsi="Aptos"/>
          <w:sz w:val="24"/>
          <w:szCs w:val="24"/>
        </w:rPr>
        <w:t xml:space="preserve">Select Phase: Retrieve partno, serialno, psn from rotables table; retrieve ref_date, trend_type, value, event_perfno_i from rotables_trend table; retrieve ac_registr, ac_typ from aircraft table</w:t>
      </w:r>
    </w:p>
    <w:p>
      <w:pPr>
        <w:pStyle w:val="ListParagraph"/>
        <w:numPr>
          <w:ilvl w:val="0"/>
          <w:numId w:val="2"/>
        </w:numPr>
        <w:spacing w:after="60" w:line="264"/>
      </w:pPr>
      <w:r>
        <w:rPr>
          <w:rFonts w:ascii="Aptos" w:cs="Aptos" w:eastAsia="Aptos" w:hAnsi="Aptos"/>
          <w:sz w:val="24"/>
          <w:szCs w:val="24"/>
        </w:rPr>
        <w:t xml:space="preserve">Join Phase: Inner join rotables to rotables_trend on psn field to correlate APU configuration with trend data; inner join result to aircraft on ac_registr field to add aircraft type and registration context</w:t>
      </w:r>
    </w:p>
    <w:p>
      <w:pPr>
        <w:pStyle w:val="ListParagraph"/>
        <w:numPr>
          <w:ilvl w:val="0"/>
          <w:numId w:val="2"/>
        </w:numPr>
        <w:spacing w:after="60" w:line="264"/>
      </w:pPr>
      <w:r>
        <w:rPr>
          <w:rFonts w:ascii="Aptos" w:cs="Aptos" w:eastAsia="Aptos" w:hAnsi="Aptos"/>
          <w:sz w:val="24"/>
          <w:szCs w:val="24"/>
        </w:rPr>
        <w:t xml:space="preserve">Filter Phase: Apply WHERE clause to retain aircraft.ac_typ = 'B737NG' only; apply WHERE clause to retain rotables_trend.trend_type = 'CT5' only; apply WHERE clause to exclude null values in partno, serialno, psn, ref_date</w:t>
      </w:r>
    </w:p>
    <w:p>
      <w:pPr>
        <w:pStyle w:val="ListParagraph"/>
        <w:numPr>
          <w:ilvl w:val="0"/>
          <w:numId w:val="2"/>
        </w:numPr>
        <w:spacing w:after="60" w:line="264"/>
      </w:pPr>
      <w:r>
        <w:rPr>
          <w:rFonts w:ascii="Aptos" w:cs="Aptos" w:eastAsia="Aptos" w:hAnsi="Aptos"/>
          <w:sz w:val="24"/>
          <w:szCs w:val="24"/>
        </w:rPr>
        <w:t xml:space="preserve">Deduplication Phase: Use window function ROW_NUMBER() PARTITION BY psn ORDER BY ref_date DESC to rank records by reference date; select only rank = 1 to retain latest ref_date per APU</w:t>
      </w:r>
    </w:p>
    <w:p>
      <w:pPr>
        <w:pStyle w:val="ListParagraph"/>
        <w:numPr>
          <w:ilvl w:val="0"/>
          <w:numId w:val="2"/>
        </w:numPr>
        <w:spacing w:after="60" w:line="264"/>
      </w:pPr>
      <w:r>
        <w:rPr>
          <w:rFonts w:ascii="Aptos" w:cs="Aptos" w:eastAsia="Aptos" w:hAnsi="Aptos"/>
          <w:sz w:val="24"/>
          <w:szCs w:val="24"/>
        </w:rPr>
        <w:t xml:space="preserve">Output Naming: Output columns named exactly as specified: partno, serialno, psn, ac_registr, ref_date, trend_type, event_perfno_i, value, ac_typ</w:t>
      </w:r>
    </w:p>
    <w:p>
      <w:pPr>
        <w:pStyle w:val="Heading1"/>
      </w:pPr>
      <w:r>
        <w:t xml:space="preserve">9.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760"/>
      </w:tblGrid>
      <w:tr>
        <w:trPr>
          <w:tblHeader/>
        </w:trPr>
        <w:tc>
          <w:tcPr>
            <w:tcW w:type="dxa" w:w="1700"/>
            <w:tcBorders>
              <w:top w:val="single" w:color="4F81BD" w:sz="6"/>
              <w:left w:val="single" w:color="4F81BD" w:sz="6"/>
              <w:bottom w:val="single" w:color="4F81BD" w:sz="6"/>
              <w:right w:val="single" w:color="4F81BD" w:sz="6"/>
            </w:tcBorders>
            <w:shd w:fill="95B3D7" w:color="auto" w:val="clear"/>
            <w:tcMar>
              <w:top w:type="dxa" w:w="60"/>
              <w:left w:type="dxa" w:w="120"/>
              <w:bottom w:type="dxa" w:w="60"/>
              <w:right w:type="dxa" w:w="120"/>
            </w:tcMar>
            <w:vAlign w:val="center"/>
          </w:tcPr>
          <w:p>
            <w:pPr>
              <w:jc w:val="center"/>
            </w:pPr>
            <w:r>
              <w:rPr>
                <w:rFonts w:ascii="Aptos" w:cs="Aptos" w:eastAsia="Aptos" w:hAnsi="Aptos"/>
                <w:b/>
                <w:bCs/>
                <w:color w:val="000000"/>
                <w:sz w:val="22"/>
                <w:szCs w:val="22"/>
              </w:rPr>
              <w:t xml:space="preserve">Dremio Field</w:t>
            </w:r>
          </w:p>
        </w:tc>
        <w:tc>
          <w:tcPr>
            <w:tcW w:type="dxa" w:w="2900"/>
            <w:tcBorders>
              <w:top w:val="single" w:color="4F81BD" w:sz="6"/>
              <w:left w:val="single" w:color="4F81BD" w:sz="6"/>
              <w:bottom w:val="single" w:color="4F81BD" w:sz="6"/>
              <w:right w:val="single" w:color="4F81BD" w:sz="6"/>
            </w:tcBorders>
            <w:shd w:fill="95B3D7" w:color="auto" w:val="clear"/>
            <w:tcMar>
              <w:top w:type="dxa" w:w="60"/>
              <w:left w:type="dxa" w:w="120"/>
              <w:bottom w:type="dxa" w:w="60"/>
              <w:right w:type="dxa" w:w="120"/>
            </w:tcMar>
            <w:vAlign w:val="center"/>
          </w:tcPr>
          <w:p>
            <w:pPr>
              <w:jc w:val="center"/>
            </w:pPr>
            <w:r>
              <w:rPr>
                <w:rFonts w:ascii="Aptos" w:cs="Aptos" w:eastAsia="Aptos" w:hAnsi="Aptos"/>
                <w:b/>
                <w:bCs/>
                <w:color w:val="000000"/>
                <w:sz w:val="22"/>
                <w:szCs w:val="22"/>
              </w:rPr>
              <w:t xml:space="preserve">Source Field</w:t>
            </w:r>
          </w:p>
        </w:tc>
        <w:tc>
          <w:tcPr>
            <w:tcW w:type="dxa" w:w="4760"/>
            <w:tcBorders>
              <w:top w:val="single" w:color="4F81BD" w:sz="6"/>
              <w:left w:val="single" w:color="4F81BD" w:sz="6"/>
              <w:bottom w:val="single" w:color="4F81BD" w:sz="6"/>
              <w:right w:val="single" w:color="4F81BD" w:sz="6"/>
            </w:tcBorders>
            <w:shd w:fill="95B3D7" w:color="auto" w:val="clear"/>
            <w:tcMar>
              <w:top w:type="dxa" w:w="60"/>
              <w:left w:type="dxa" w:w="120"/>
              <w:bottom w:type="dxa" w:w="60"/>
              <w:right w:type="dxa" w:w="120"/>
            </w:tcMar>
            <w:vAlign w:val="center"/>
          </w:tcPr>
          <w:p>
            <w:pPr>
              <w:jc w:val="center"/>
            </w:pPr>
            <w:r>
              <w:rPr>
                <w:rFonts w:ascii="Aptos" w:cs="Aptos" w:eastAsia="Aptos" w:hAnsi="Aptos"/>
                <w:b/>
                <w:bCs/>
                <w:color w:val="000000"/>
                <w:sz w:val="22"/>
                <w:szCs w:val="22"/>
              </w:rPr>
              <w:t xml:space="preserve">Logic / Derivation</w:t>
            </w:r>
          </w:p>
        </w:tc>
      </w:tr>
      <w:tr>
        <w:tc>
          <w:tcPr>
            <w:tcW w:type="dxa" w:w="17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partno</w:t>
            </w:r>
          </w:p>
        </w:tc>
        <w:tc>
          <w:tcPr>
            <w:tcW w:type="dxa" w:w="29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amos.rotables.partno</w:t>
            </w:r>
          </w:p>
        </w:tc>
        <w:tc>
          <w:tcPr>
            <w:tcW w:type="dxa" w:w="47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APU part number; passed through without transformation</w:t>
            </w:r>
          </w:p>
        </w:tc>
      </w:tr>
      <w:tr>
        <w:tc>
          <w:tcPr>
            <w:tcW w:type="dxa" w:w="17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serialno</w:t>
            </w:r>
          </w:p>
        </w:tc>
        <w:tc>
          <w:tcPr>
            <w:tcW w:type="dxa" w:w="29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amos.rotables.serialno</w:t>
            </w:r>
          </w:p>
        </w:tc>
        <w:tc>
          <w:tcPr>
            <w:tcW w:type="dxa" w:w="47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APU serial number; passed through without transformation</w:t>
            </w:r>
          </w:p>
        </w:tc>
      </w:tr>
      <w:tr>
        <w:tc>
          <w:tcPr>
            <w:tcW w:type="dxa" w:w="17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psn</w:t>
            </w:r>
          </w:p>
        </w:tc>
        <w:tc>
          <w:tcPr>
            <w:tcW w:type="dxa" w:w="29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amos.rotables.psn</w:t>
            </w:r>
          </w:p>
        </w:tc>
        <w:tc>
          <w:tcPr>
            <w:tcW w:type="dxa" w:w="47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Unique PSN identifier for each APU; used as join key and deduplication key</w:t>
            </w:r>
          </w:p>
        </w:tc>
      </w:tr>
      <w:tr>
        <w:tc>
          <w:tcPr>
            <w:tcW w:type="dxa" w:w="17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ac_registr</w:t>
            </w:r>
          </w:p>
        </w:tc>
        <w:tc>
          <w:tcPr>
            <w:tcW w:type="dxa" w:w="29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amos.aircraft.ac_registr</w:t>
            </w:r>
          </w:p>
        </w:tc>
        <w:tc>
          <w:tcPr>
            <w:tcW w:type="dxa" w:w="47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Aircraft registration; passed through without transformation</w:t>
            </w:r>
          </w:p>
        </w:tc>
      </w:tr>
      <w:tr>
        <w:tc>
          <w:tcPr>
            <w:tcW w:type="dxa" w:w="17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ref_date</w:t>
            </w:r>
          </w:p>
        </w:tc>
        <w:tc>
          <w:tcPr>
            <w:tcW w:type="dxa" w:w="29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amos.rotables_trend.ref_date</w:t>
            </w:r>
          </w:p>
        </w:tc>
        <w:tc>
          <w:tcPr>
            <w:tcW w:type="dxa" w:w="47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Reference date from trend record; maximum value selected per PSN using window function</w:t>
            </w:r>
          </w:p>
        </w:tc>
      </w:tr>
      <w:tr>
        <w:tc>
          <w:tcPr>
            <w:tcW w:type="dxa" w:w="17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trend_type</w:t>
            </w:r>
          </w:p>
        </w:tc>
        <w:tc>
          <w:tcPr>
            <w:tcW w:type="dxa" w:w="29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amos.rotables_trend.trend_type</w:t>
            </w:r>
          </w:p>
        </w:tc>
        <w:tc>
          <w:tcPr>
            <w:tcW w:type="dxa" w:w="47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Trend type code; filtered to 'CT5' only</w:t>
            </w:r>
          </w:p>
        </w:tc>
      </w:tr>
      <w:tr>
        <w:tc>
          <w:tcPr>
            <w:tcW w:type="dxa" w:w="17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event_perfno_i</w:t>
            </w:r>
          </w:p>
        </w:tc>
        <w:tc>
          <w:tcPr>
            <w:tcW w:type="dxa" w:w="29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amos.rotables_trend.event_perfno_i</w:t>
            </w:r>
          </w:p>
        </w:tc>
        <w:tc>
          <w:tcPr>
            <w:tcW w:type="dxa" w:w="47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Workorder number if present; null values retained as-is</w:t>
            </w:r>
          </w:p>
        </w:tc>
      </w:tr>
      <w:tr>
        <w:tc>
          <w:tcPr>
            <w:tcW w:type="dxa" w:w="17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value</w:t>
            </w:r>
          </w:p>
        </w:tc>
        <w:tc>
          <w:tcPr>
            <w:tcW w:type="dxa" w:w="29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amos.rotables_trend.value</w:t>
            </w:r>
          </w:p>
        </w:tc>
        <w:tc>
          <w:tcPr>
            <w:tcW w:type="dxa" w:w="47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CT5ATP measurement value; passed through without transformation</w:t>
            </w:r>
          </w:p>
        </w:tc>
      </w:tr>
      <w:tr>
        <w:tc>
          <w:tcPr>
            <w:tcW w:type="dxa" w:w="17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ac_typ</w:t>
            </w:r>
          </w:p>
        </w:tc>
        <w:tc>
          <w:tcPr>
            <w:tcW w:type="dxa" w:w="29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Consolas" w:cs="Consolas" w:eastAsia="Consolas" w:hAnsi="Consolas"/>
                <w:sz w:val="20"/>
                <w:szCs w:val="20"/>
              </w:rPr>
              <w:t xml:space="preserve">amos.aircraft.ac_typ</w:t>
            </w:r>
          </w:p>
        </w:tc>
        <w:tc>
          <w:tcPr>
            <w:tcW w:type="dxa" w:w="47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Aircraft type code; filtered to 'B737NG' only</w:t>
            </w:r>
          </w:p>
        </w:tc>
      </w:tr>
    </w:tbl>
    <w:p>
      <w:pPr>
        <w:pStyle w:val="Heading1"/>
      </w:pPr>
      <w:r>
        <w:t xml:space="preserve">10.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4F81BD" w:sz="6"/>
              <w:left w:val="single" w:color="4F81BD" w:sz="6"/>
              <w:bottom w:val="single" w:color="4F81BD" w:sz="6"/>
              <w:right w:val="single" w:color="4F81BD" w:sz="6"/>
            </w:tcBorders>
            <w:shd w:fill="95B3D7" w:color="auto" w:val="clear"/>
            <w:tcMar>
              <w:top w:type="dxa" w:w="60"/>
              <w:left w:type="dxa" w:w="120"/>
              <w:bottom w:type="dxa" w:w="60"/>
              <w:right w:type="dxa" w:w="120"/>
            </w:tcMar>
            <w:vAlign w:val="center"/>
          </w:tcPr>
          <w:p>
            <w:pPr>
              <w:jc w:val="center"/>
            </w:pPr>
            <w:r>
              <w:rPr>
                <w:rFonts w:ascii="Aptos" w:cs="Aptos" w:eastAsia="Aptos" w:hAnsi="Aptos"/>
                <w:b/>
                <w:bCs/>
                <w:color w:val="000000"/>
                <w:sz w:val="22"/>
                <w:szCs w:val="22"/>
              </w:rPr>
              <w:t xml:space="preserve">Milestone</w:t>
            </w:r>
          </w:p>
        </w:tc>
        <w:tc>
          <w:tcPr>
            <w:tcW w:type="dxa" w:w="2000"/>
            <w:tcBorders>
              <w:top w:val="single" w:color="4F81BD" w:sz="6"/>
              <w:left w:val="single" w:color="4F81BD" w:sz="6"/>
              <w:bottom w:val="single" w:color="4F81BD" w:sz="6"/>
              <w:right w:val="single" w:color="4F81BD" w:sz="6"/>
            </w:tcBorders>
            <w:shd w:fill="95B3D7" w:color="auto" w:val="clear"/>
            <w:tcMar>
              <w:top w:type="dxa" w:w="60"/>
              <w:left w:type="dxa" w:w="120"/>
              <w:bottom w:type="dxa" w:w="60"/>
              <w:right w:type="dxa" w:w="120"/>
            </w:tcMar>
            <w:vAlign w:val="center"/>
          </w:tcPr>
          <w:p>
            <w:pPr>
              <w:jc w:val="center"/>
            </w:pPr>
            <w:r>
              <w:rPr>
                <w:rFonts w:ascii="Aptos" w:cs="Aptos" w:eastAsia="Aptos" w:hAnsi="Aptos"/>
                <w:b/>
                <w:bCs/>
                <w:color w:val="000000"/>
                <w:sz w:val="22"/>
                <w:szCs w:val="22"/>
              </w:rPr>
              <w:t xml:space="preserve">Days</w:t>
            </w:r>
          </w:p>
        </w:tc>
      </w:tr>
      <w:tr>
        <w:tc>
          <w:tcPr>
            <w:tcW w:type="dxa" w:w="73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Requirements review and data source validation</w:t>
            </w:r>
          </w:p>
        </w:tc>
        <w:tc>
          <w:tcPr>
            <w:tcW w:type="dxa" w:w="20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center"/>
            </w:pPr>
            <w:r>
              <w:rPr>
                <w:rFonts w:ascii="Aptos" w:cs="Aptos" w:eastAsia="Aptos" w:hAnsi="Aptos"/>
                <w:sz w:val="22"/>
                <w:szCs w:val="22"/>
              </w:rPr>
              <w:t xml:space="preserve">2</w:t>
            </w:r>
          </w:p>
        </w:tc>
      </w:tr>
      <w:tr>
        <w:tc>
          <w:tcPr>
            <w:tcW w:type="dxa" w:w="73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SQL query development and unit testing</w:t>
            </w:r>
          </w:p>
        </w:tc>
        <w:tc>
          <w:tcPr>
            <w:tcW w:type="dxa" w:w="20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center"/>
            </w:pPr>
            <w:r>
              <w:rPr>
                <w:rFonts w:ascii="Aptos" w:cs="Aptos" w:eastAsia="Aptos" w:hAnsi="Aptos"/>
                <w:sz w:val="22"/>
                <w:szCs w:val="22"/>
              </w:rPr>
              <w:t xml:space="preserve">3</w:t>
            </w:r>
          </w:p>
        </w:tc>
      </w:tr>
      <w:tr>
        <w:tc>
          <w:tcPr>
            <w:tcW w:type="dxa" w:w="73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Query performance tuning and acceptance environment testing</w:t>
            </w:r>
          </w:p>
        </w:tc>
        <w:tc>
          <w:tcPr>
            <w:tcW w:type="dxa" w:w="20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center"/>
            </w:pPr>
            <w:r>
              <w:rPr>
                <w:rFonts w:ascii="Aptos" w:cs="Aptos" w:eastAsia="Aptos" w:hAnsi="Aptos"/>
                <w:sz w:val="22"/>
                <w:szCs w:val="22"/>
              </w:rPr>
              <w:t xml:space="preserve">2</w:t>
            </w:r>
          </w:p>
        </w:tc>
      </w:tr>
      <w:tr>
        <w:tc>
          <w:tcPr>
            <w:tcW w:type="dxa" w:w="73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VDS creation in Dremio Engine Folder and integration testing</w:t>
            </w:r>
          </w:p>
        </w:tc>
        <w:tc>
          <w:tcPr>
            <w:tcW w:type="dxa" w:w="20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center"/>
            </w:pPr>
            <w:r>
              <w:rPr>
                <w:rFonts w:ascii="Aptos" w:cs="Aptos" w:eastAsia="Aptos" w:hAnsi="Aptos"/>
                <w:sz w:val="22"/>
                <w:szCs w:val="22"/>
              </w:rPr>
              <w:t xml:space="preserve">2</w:t>
            </w:r>
          </w:p>
        </w:tc>
      </w:tr>
      <w:tr>
        <w:tc>
          <w:tcPr>
            <w:tcW w:type="dxa" w:w="736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UAT execution and stakeholder sign-off</w:t>
            </w:r>
          </w:p>
        </w:tc>
        <w:tc>
          <w:tcPr>
            <w:tcW w:type="dxa" w:w="200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center"/>
            </w:pPr>
            <w:r>
              <w:rPr>
                <w:rFonts w:ascii="Aptos" w:cs="Aptos" w:eastAsia="Aptos" w:hAnsi="Aptos"/>
                <w:sz w:val="22"/>
                <w:szCs w:val="22"/>
              </w:rPr>
              <w:t xml:space="preserve">2</w:t>
            </w:r>
          </w:p>
        </w:tc>
      </w:tr>
      <w:tr>
        <w:tc>
          <w:tcPr>
            <w:tcW w:type="dxa" w:w="7360"/>
            <w:tcBorders>
              <w:top w:val="single" w:color="4F81BD" w:sz="6"/>
              <w:left w:val="single" w:color="4F81BD" w:sz="6"/>
              <w:bottom w:val="single" w:color="4F81BD" w:sz="6"/>
              <w:right w:val="single" w:color="4F81BD" w:sz="6"/>
            </w:tcBorders>
            <w:shd w:fill="DCE6F1" w:color="auto" w:val="clear"/>
            <w:tcMar>
              <w:top w:type="dxa" w:w="60"/>
              <w:left w:type="dxa" w:w="120"/>
              <w:bottom w:type="dxa" w:w="60"/>
              <w:right w:type="dxa" w:w="120"/>
            </w:tcMar>
          </w:tcPr>
          <w:p>
            <w:r>
              <w:rPr>
                <w:rFonts w:ascii="Aptos" w:cs="Aptos" w:eastAsia="Aptos" w:hAnsi="Aptos"/>
                <w:b/>
                <w:bCs/>
                <w:sz w:val="22"/>
                <w:szCs w:val="22"/>
              </w:rPr>
              <w:t xml:space="preserve">Total</w:t>
            </w:r>
          </w:p>
        </w:tc>
        <w:tc>
          <w:tcPr>
            <w:tcW w:type="dxa" w:w="2000"/>
            <w:tcBorders>
              <w:top w:val="single" w:color="4F81BD" w:sz="6"/>
              <w:left w:val="single" w:color="4F81BD" w:sz="6"/>
              <w:bottom w:val="single" w:color="4F81BD" w:sz="6"/>
              <w:right w:val="single" w:color="4F81BD" w:sz="6"/>
            </w:tcBorders>
            <w:shd w:fill="DCE6F1" w:color="auto" w:val="clear"/>
            <w:tcMar>
              <w:top w:type="dxa" w:w="60"/>
              <w:left w:type="dxa" w:w="120"/>
              <w:bottom w:type="dxa" w:w="60"/>
              <w:right w:type="dxa" w:w="120"/>
            </w:tcMar>
          </w:tcPr>
          <w:p>
            <w:pPr>
              <w:jc w:val="center"/>
            </w:pPr>
            <w:r>
              <w:rPr>
                <w:rFonts w:ascii="Aptos" w:cs="Aptos" w:eastAsia="Aptos" w:hAnsi="Aptos"/>
                <w:b/>
                <w:bCs/>
                <w:sz w:val="22"/>
                <w:szCs w:val="22"/>
              </w:rPr>
              <w:t xml:space="preserve">11</w:t>
            </w:r>
          </w:p>
        </w:tc>
      </w:tr>
    </w:tbl>
    <w:p>
      <w:pPr>
        <w:pStyle w:val="Heading1"/>
      </w:pPr>
      <w:r>
        <w:t xml:space="preserve">11. Reference</w:t>
      </w:r>
    </w:p>
    <w:p>
      <w:pPr>
        <w:pStyle w:val="Heading2"/>
      </w:pPr>
      <w:r>
        <w:t xml:space="preserve">11.1 VDS Output Path</w:t>
      </w:r>
    </w:p>
    <w:p>
      <w:pPr>
        <w:spacing w:after="160"/>
      </w:pPr>
      <w:r>
        <w:rPr>
          <w:rFonts w:ascii="Consolas" w:cs="Consolas" w:eastAsia="Consolas" w:hAnsi="Consolas"/>
          <w:sz w:val="22"/>
          <w:szCs w:val="22"/>
        </w:rPr>
        <w:t xml:space="preserve">dremio-db.Engine.APU_Health_Monitor</w:t>
      </w:r>
    </w:p>
    <w:p>
      <w:pPr>
        <w:pStyle w:val="Heading2"/>
      </w:pPr>
      <w:r>
        <w:t xml:space="preserve">11.2 Key Business Rules</w:t>
      </w:r>
    </w:p>
    <w:p>
      <w:pPr>
        <w:pStyle w:val="ListParagraph"/>
        <w:numPr>
          <w:ilvl w:val="0"/>
          <w:numId w:val="2"/>
        </w:numPr>
        <w:spacing w:after="60" w:line="264"/>
      </w:pPr>
      <w:r>
        <w:rPr>
          <w:rFonts w:ascii="Aptos" w:cs="Aptos" w:eastAsia="Aptos" w:hAnsi="Aptos"/>
          <w:sz w:val="24"/>
          <w:szCs w:val="24"/>
        </w:rPr>
        <w:t xml:space="preserve">Aircraft Type Filter: Only B737NG aircraft included; all other aircraft types excluded</w:t>
      </w:r>
    </w:p>
    <w:p>
      <w:pPr>
        <w:pStyle w:val="ListParagraph"/>
        <w:numPr>
          <w:ilvl w:val="0"/>
          <w:numId w:val="2"/>
        </w:numPr>
        <w:spacing w:after="60" w:line="264"/>
      </w:pPr>
      <w:r>
        <w:rPr>
          <w:rFonts w:ascii="Aptos" w:cs="Aptos" w:eastAsia="Aptos" w:hAnsi="Aptos"/>
          <w:sz w:val="24"/>
          <w:szCs w:val="24"/>
        </w:rPr>
        <w:t xml:space="preserve">Trend Type Filter: Only CT5 trend records included; other trend types excluded</w:t>
      </w:r>
    </w:p>
    <w:p>
      <w:pPr>
        <w:pStyle w:val="ListParagraph"/>
        <w:numPr>
          <w:ilvl w:val="0"/>
          <w:numId w:val="2"/>
        </w:numPr>
        <w:spacing w:after="60" w:line="264"/>
      </w:pPr>
      <w:r>
        <w:rPr>
          <w:rFonts w:ascii="Aptos" w:cs="Aptos" w:eastAsia="Aptos" w:hAnsi="Aptos"/>
          <w:sz w:val="24"/>
          <w:szCs w:val="24"/>
        </w:rPr>
        <w:t xml:space="preserve">Date Deduplication: For each unique PSN, only the row with the maximum ref_date is retained; earlier reference dates are excluded</w:t>
      </w:r>
    </w:p>
    <w:p>
      <w:pPr>
        <w:pStyle w:val="ListParagraph"/>
        <w:numPr>
          <w:ilvl w:val="0"/>
          <w:numId w:val="2"/>
        </w:numPr>
        <w:spacing w:after="60" w:line="264"/>
      </w:pPr>
      <w:r>
        <w:rPr>
          <w:rFonts w:ascii="Aptos" w:cs="Aptos" w:eastAsia="Aptos" w:hAnsi="Aptos"/>
          <w:sz w:val="24"/>
          <w:szCs w:val="24"/>
        </w:rPr>
        <w:t xml:space="preserve">Null Handling: Records with null partno, serialno, psn, or ref_date are excluded; event_perfno_i null values are retained as valid data</w:t>
      </w:r>
    </w:p>
    <w:p>
      <w:pPr>
        <w:pStyle w:val="ListParagraph"/>
        <w:numPr>
          <w:ilvl w:val="0"/>
          <w:numId w:val="2"/>
        </w:numPr>
        <w:spacing w:after="60" w:line="264"/>
      </w:pPr>
      <w:r>
        <w:rPr>
          <w:rFonts w:ascii="Aptos" w:cs="Aptos" w:eastAsia="Aptos" w:hAnsi="Aptos"/>
          <w:sz w:val="24"/>
          <w:szCs w:val="24"/>
        </w:rPr>
        <w:t xml:space="preserve">Join Logic: Inner joins enforce that all output rows have valid matches in all three source tables; unmatched records are excluded</w:t>
      </w:r>
    </w:p>
    <w:p>
      <w:pPr>
        <w:pStyle w:val="Heading2"/>
      </w:pPr>
      <w:r>
        <w:t xml:space="preserve">11.3 Access Control</w:t>
      </w:r>
    </w:p>
    <w:p>
      <w:pPr>
        <w:spacing w:after="160" w:line="264"/>
        <w:jc w:val="both"/>
      </w:pPr>
      <w:r>
        <w:rPr>
          <w:rFonts w:ascii="Aptos" w:cs="Aptos" w:eastAsia="Aptos" w:hAnsi="Aptos"/>
          <w:b w:val="false"/>
          <w:bCs w:val="false"/>
          <w:sz w:val="24"/>
          <w:szCs w:val="24"/>
        </w:rPr>
        <w:t xml:space="preserve">SELECT access to the VDS is granted to ASL Airlines Engineering team and DnT Infotech DataLake Team; write access is restricted to DataLake Team administrators only.</w:t>
      </w:r>
    </w:p>
    <w:p>
      <w:pPr>
        <w:pStyle w:val="Heading1"/>
      </w:pPr>
      <w:r>
        <w:t xml:space="preserve">12.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4F81BD" w:sz="6"/>
              <w:left w:val="single" w:color="4F81BD" w:sz="6"/>
              <w:bottom w:val="single" w:color="4F81BD" w:sz="6"/>
              <w:right w:val="single" w:color="4F81BD" w:sz="6"/>
            </w:tcBorders>
            <w:shd w:fill="95B3D7" w:color="auto" w:val="clear"/>
            <w:tcMar>
              <w:top w:type="dxa" w:w="60"/>
              <w:left w:type="dxa" w:w="120"/>
              <w:bottom w:type="dxa" w:w="60"/>
              <w:right w:type="dxa" w:w="120"/>
            </w:tcMar>
            <w:vAlign w:val="center"/>
          </w:tcPr>
          <w:p>
            <w:pPr>
              <w:jc w:val="center"/>
            </w:pPr>
            <w:r>
              <w:rPr>
                <w:rFonts w:ascii="Aptos" w:cs="Aptos" w:eastAsia="Aptos" w:hAnsi="Aptos"/>
                <w:b/>
                <w:bCs/>
                <w:color w:val="000000"/>
                <w:sz w:val="22"/>
                <w:szCs w:val="22"/>
              </w:rPr>
              <w:t xml:space="preserve">Role</w:t>
            </w:r>
          </w:p>
        </w:tc>
        <w:tc>
          <w:tcPr>
            <w:tcW w:type="dxa" w:w="3120"/>
            <w:tcBorders>
              <w:top w:val="single" w:color="4F81BD" w:sz="6"/>
              <w:left w:val="single" w:color="4F81BD" w:sz="6"/>
              <w:bottom w:val="single" w:color="4F81BD" w:sz="6"/>
              <w:right w:val="single" w:color="4F81BD" w:sz="6"/>
            </w:tcBorders>
            <w:shd w:fill="95B3D7" w:color="auto" w:val="clear"/>
            <w:tcMar>
              <w:top w:type="dxa" w:w="60"/>
              <w:left w:type="dxa" w:w="120"/>
              <w:bottom w:type="dxa" w:w="60"/>
              <w:right w:type="dxa" w:w="120"/>
            </w:tcMar>
            <w:vAlign w:val="center"/>
          </w:tcPr>
          <w:p>
            <w:pPr>
              <w:jc w:val="center"/>
            </w:pPr>
            <w:r>
              <w:rPr>
                <w:rFonts w:ascii="Aptos" w:cs="Aptos" w:eastAsia="Aptos" w:hAnsi="Aptos"/>
                <w:b/>
                <w:bCs/>
                <w:color w:val="000000"/>
                <w:sz w:val="22"/>
                <w:szCs w:val="22"/>
              </w:rPr>
              <w:t xml:space="preserve">Name</w:t>
            </w:r>
          </w:p>
        </w:tc>
        <w:tc>
          <w:tcPr>
            <w:tcW w:type="dxa" w:w="3120"/>
            <w:tcBorders>
              <w:top w:val="single" w:color="4F81BD" w:sz="6"/>
              <w:left w:val="single" w:color="4F81BD" w:sz="6"/>
              <w:bottom w:val="single" w:color="4F81BD" w:sz="6"/>
              <w:right w:val="single" w:color="4F81BD" w:sz="6"/>
            </w:tcBorders>
            <w:shd w:fill="95B3D7" w:color="auto" w:val="clear"/>
            <w:tcMar>
              <w:top w:type="dxa" w:w="60"/>
              <w:left w:type="dxa" w:w="120"/>
              <w:bottom w:type="dxa" w:w="60"/>
              <w:right w:type="dxa" w:w="120"/>
            </w:tcMar>
            <w:vAlign w:val="center"/>
          </w:tcPr>
          <w:p>
            <w:pPr>
              <w:jc w:val="center"/>
            </w:pPr>
            <w:r>
              <w:rPr>
                <w:rFonts w:ascii="Aptos" w:cs="Aptos" w:eastAsia="Aptos" w:hAnsi="Aptos"/>
                <w:b/>
                <w:bCs/>
                <w:color w:val="000000"/>
                <w:sz w:val="22"/>
                <w:szCs w:val="22"/>
              </w:rPr>
              <w:t xml:space="preserve">Date</w:t>
            </w:r>
          </w:p>
        </w:tc>
      </w:tr>
      <w:tr>
        <w:tc>
          <w:tcPr>
            <w:tcW w:type="dxa" w:w="312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Technical Lead</w:t>
            </w:r>
          </w:p>
        </w:tc>
        <w:tc>
          <w:tcPr>
            <w:tcW w:type="dxa" w:w="312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
            </w:r>
          </w:p>
        </w:tc>
        <w:tc>
          <w:tcPr>
            <w:tcW w:type="dxa" w:w="312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
            </w:r>
          </w:p>
        </w:tc>
      </w:tr>
      <w:tr>
        <w:tc>
          <w:tcPr>
            <w:tcW w:type="dxa" w:w="312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Development Lead</w:t>
            </w:r>
          </w:p>
        </w:tc>
        <w:tc>
          <w:tcPr>
            <w:tcW w:type="dxa" w:w="312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
            </w:r>
          </w:p>
        </w:tc>
        <w:tc>
          <w:tcPr>
            <w:tcW w:type="dxa" w:w="312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
            </w:r>
          </w:p>
        </w:tc>
      </w:tr>
      <w:tr>
        <w:tc>
          <w:tcPr>
            <w:tcW w:type="dxa" w:w="312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QA/Tester</w:t>
            </w:r>
          </w:p>
        </w:tc>
        <w:tc>
          <w:tcPr>
            <w:tcW w:type="dxa" w:w="312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
            </w:r>
          </w:p>
        </w:tc>
        <w:tc>
          <w:tcPr>
            <w:tcW w:type="dxa" w:w="312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
            </w:r>
          </w:p>
        </w:tc>
      </w:tr>
      <w:tr>
        <w:tc>
          <w:tcPr>
            <w:tcW w:type="dxa" w:w="312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Business Owner</w:t>
            </w:r>
          </w:p>
        </w:tc>
        <w:tc>
          <w:tcPr>
            <w:tcW w:type="dxa" w:w="312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
            </w:r>
          </w:p>
        </w:tc>
        <w:tc>
          <w:tcPr>
            <w:tcW w:type="dxa" w:w="3120"/>
            <w:tcBorders>
              <w:top w:val="single" w:color="4F81BD" w:sz="6"/>
              <w:left w:val="single" w:color="4F81BD" w:sz="6"/>
              <w:bottom w:val="single" w:color="4F81BD" w:sz="6"/>
              <w:right w:val="single" w:color="4F81BD" w:sz="6"/>
            </w:tcBorders>
            <w:tcMar>
              <w:top w:type="dxa" w:w="60"/>
              <w:left w:type="dxa" w:w="120"/>
              <w:bottom w:type="dxa" w:w="60"/>
              <w:right w:type="dxa" w:w="120"/>
            </w:tcMar>
            <w:vAlign w:val="center"/>
          </w:tcPr>
          <w:p>
            <w:pPr>
              <w:jc w:val="left"/>
            </w:pPr>
            <w:r>
              <w:rPr>
                <w:rFonts w:ascii="Aptos" w:cs="Aptos" w:eastAsia="Aptos" w:hAnsi="Aptos"/>
                <w:sz w:val="22"/>
                <w:szCs w:val="22"/>
              </w:rPr>
              <w:t xml:space="preserve"/>
            </w:r>
          </w:p>
        </w:tc>
      </w:tr>
    </w:tbl>
    <w:sectPr>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81BD" w:sz="4" w:space="4"/>
      </w:pBdr>
      <w:tabs>
        <w:tab w:val="right" w:pos="9360"/>
      </w:tabs>
    </w:pPr>
    <w:r>
      <w:rPr>
        <w:rFonts w:ascii="Aptos" w:cs="Aptos" w:eastAsia="Aptos" w:hAnsi="Aptos"/>
        <w:color w:val="808080"/>
        <w:sz w:val="16"/>
        <w:szCs w:val="16"/>
      </w:rPr>
      <w:t xml:space="preserve">ASL Technical Implementation — APU Health Monitor (ADL-1700)</w:t>
    </w:r>
    <w:r>
      <w:rPr>
        <w:rFonts w:ascii="Aptos" w:cs="Aptos" w:eastAsia="Aptos" w:hAnsi="Aptos"/>
        <w:sz w:val="16"/>
        <w:szCs w:val="16"/>
      </w:rPr>
      <w:t xml:space="preserve">	</w:t>
    </w:r>
    <w:r>
      <w:rPr>
        <w:rFonts w:ascii="Aptos" w:cs="Aptos" w:eastAsia="Aptos" w:hAnsi="Aptos"/>
        <w:color w:val="808080"/>
        <w:sz w:val="16"/>
        <w:szCs w:val="16"/>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81BD" w:sz="4" w:space="4"/>
      </w:pBdr>
      <w:tabs>
        <w:tab w:val="right" w:pos="9360"/>
      </w:tabs>
    </w:pPr>
    <w:r>
      <w:rPr>
        <w:rFonts w:ascii="Aptos" w:cs="Aptos" w:eastAsia="Aptos" w:hAnsi="Aptos"/>
        <w:color w:val="808080"/>
        <w:sz w:val="16"/>
        <w:szCs w:val="16"/>
      </w:rPr>
      <w:t xml:space="preserve">ASL Technical Implementation — APU Health Monitor (ADL-1700)</w:t>
    </w:r>
    <w:r>
      <w:rPr>
        <w:rFonts w:ascii="Aptos" w:cs="Aptos" w:eastAsia="Aptos" w:hAnsi="Aptos"/>
        <w:sz w:val="16"/>
        <w:szCs w:val="16"/>
      </w:rPr>
      <w:t xml:space="preserve">	</w:t>
    </w:r>
    <w:r>
      <w:rPr>
        <w:rFonts w:ascii="Aptos" w:cs="Aptos" w:eastAsia="Aptos" w:hAnsi="Aptos"/>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4"/>
        <w:szCs w:val="24"/>
      </w:rPr>
    </w:rPrDefault>
  </w:docDefaults>
  <w:style w:type="paragraph" w:default="1" w:styleId="Normal">
    <w:name w:val="Normal"/>
  </w:style>
  <w:style w:type="paragraph" w:styleId="Title">
    <w:name w:val="Title"/>
    <w:basedOn w:val="Normal"/>
    <w:qFormat/>
    <w:pPr>
      <w:spacing w:after="80"/>
    </w:pPr>
    <w:rPr>
      <w:rFonts w:ascii="Aptos Display" w:hAnsi="Aptos Display" w:eastAsia="Aptos Display" w:cs="Aptos Display"/>
      <w:sz w:val="56"/>
      <w:szCs w:val="56"/>
    </w:rPr>
  </w:style>
  <w:style w:type="paragraph" w:styleId="Heading1">
    <w:name w:val="heading 1"/>
    <w:basedOn w:val="Normal"/>
    <w:next w:val="Normal"/>
    <w:qFormat/>
    <w:pPr>
      <w:keepNext/>
      <w:keepLines/>
      <w:spacing w:before="360" w:after="120"/>
      <w:outlineLvl w:val="0"/>
    </w:pPr>
    <w:rPr>
      <w:rFonts w:ascii="Aptos Display" w:hAnsi="Aptos Display" w:eastAsia="Aptos Display" w:cs="Aptos Display"/>
      <w:b w:val="false"/>
      <w:bCs w:val="false"/>
      <w:color w:val="0F4761"/>
      <w:sz w:val="40"/>
      <w:szCs w:val="40"/>
    </w:rPr>
  </w:style>
  <w:style w:type="paragraph" w:styleId="Heading2">
    <w:name w:val="heading 2"/>
    <w:basedOn w:val="Normal"/>
    <w:next w:val="Normal"/>
    <w:qFormat/>
    <w:pPr>
      <w:keepNext/>
      <w:keepLines/>
      <w:spacing w:before="240" w:after="100"/>
      <w:outlineLvl w:val="1"/>
    </w:pPr>
    <w:rPr>
      <w:rFonts w:ascii="Aptos Display" w:hAnsi="Aptos Display" w:eastAsia="Aptos Display" w:cs="Aptos Display"/>
      <w:b w:val="false"/>
      <w:bCs w:val="false"/>
      <w:color w:val="0F4761"/>
      <w:sz w:val="28"/>
      <w:szCs w:val="28"/>
    </w:rPr>
  </w:style>
  <w:style w:type="paragraph" w:styleId="Heading3">
    <w:name w:val="heading 3"/>
    <w:basedOn w:val="Normal"/>
    <w:next w:val="Normal"/>
    <w:qFormat/>
    <w:pPr>
      <w:keepNext/>
      <w:keepLines/>
      <w:spacing w:before="160" w:after="80"/>
      <w:outlineLvl w:val="2"/>
    </w:pPr>
    <w:rPr>
      <w:rFonts w:ascii="Aptos" w:hAnsi="Aptos" w:eastAsia="Aptos" w:cs="Aptos"/>
      <w:b w:val="false"/>
      <w:bCs w:val="false"/>
      <w:color w:val="0F4761"/>
      <w:sz w:val="24"/>
      <w:szCs w:val="24"/>
    </w:rPr>
  </w:style>
  <w:style w:type="paragraph" w:styleId="ListParagraph">
    <w:name w:val="List Paragraph"/>
    <w:basedOn w:val="Normal"/>
    <w:qFormat/>
    <w:pPr>
      <w:ind w:left="720"/>
    </w:pPr>
  </w:style>
  <w:style w:type="paragraph" w:styleId="ListBullet">
    <w:name w:val="List Bullet"/>
    <w:basedOn w:val="Normal"/>
    <w:qFormat/>
    <w:pPr>
      <w:ind w:left="720" w:hanging="360"/>
    </w:pPr>
  </w:style>
  <w:style w:type="character" w:styleId="DefaultParagraphFont" w:default="1">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fd759fded463a9ca21af94d7c1ded6f5488348d.png"/><Relationship Id="rId10" Type="http://schemas.openxmlformats.org/officeDocument/2006/relationships/image" Target="media/5a7490dcf334e6adde6a478de477bd615385008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APU Health Monitor - ADL-1700</dc:title>
  <dc:creator>DnT Infotech - DataLake Team</dc:creator>
  <cp:lastModifiedBy>Un-named</cp:lastModifiedBy>
  <cp:revision>1</cp:revision>
  <dcterms:created xsi:type="dcterms:W3CDTF">2026-06-08T19:33:17.119Z</dcterms:created>
  <dcterms:modified xsi:type="dcterms:W3CDTF">2026-06-08T19:33:17.119Z</dcterms:modified>
</cp:coreProperties>
</file>

<file path=docProps/custom.xml><?xml version="1.0" encoding="utf-8"?>
<Properties xmlns="http://schemas.openxmlformats.org/officeDocument/2006/custom-properties" xmlns:vt="http://schemas.openxmlformats.org/officeDocument/2006/docPropsVTypes"/>
</file>