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Evaluating Rotation Parameterizations for Reliable Robot Learning: A Focus on Worst-Case Failures</w:t>
      </w:r>
    </w:p>
    <w:p>
      <w:pPr>
        <w:pStyle w:val="Heading1"/>
      </w:pPr>
      <w:r>
        <w:t>Abstract</w:t>
      </w:r>
    </w:p>
    <w:p>
      <w:r>
        <w:t>Supervised learning of 3-D rotations is a fundamental component in modern robotics, serving roles in object pose estimation, end-effector control, and visual odometry. While prevailing benchmarks emphasize average-case performance metrics, these summaries can obscure rare but operationally catastrophic failures. In this work, we present a large-scale evaluation centered on worst-case reliability, showing that lower p99 error is associated with improved downstream manipulation success. By comparing continuous higher-dimensional mappings, minimal Lie-algebraic vectors, and multi-hypothesis models, we find that top-tier continuous methods (SVD/6D) dominate worst-case robustness. Our findings suggest that rotation representations should be judged by their tail-risk reliability in safety-critical robotics settings.</w:t>
      </w:r>
    </w:p>
    <w:p>
      <w:pPr>
        <w:pStyle w:val="Heading1"/>
      </w:pPr>
      <w:r>
        <w:t>1. Introduction</w:t>
      </w:r>
    </w:p>
    <w:p>
      <w:r>
        <w:t>Supervised learning of 3D rotations is a fundamental component in modern robotics, with applications in object pose estimation, end-effector control, and visual odometry. While most benchmarks emphasize average-case metrics such as median geodesic error, these summaries can obscure rare but operationally catastrophic failures, particularly near antipodal ambiguities.</w:t>
      </w:r>
    </w:p>
    <w:p>
      <w:r>
        <w:t>In this work, we present a large-scale evaluation centered on worst-case reliability, showing that lower p99 error is associated with improved downstream manipulation success in controlled robotics settings.</w:t>
      </w:r>
    </w:p>
    <w:p>
      <w:pPr>
        <w:pStyle w:val="Heading1"/>
      </w:pPr>
      <w:r>
        <w:t>2. Related Work</w:t>
      </w:r>
    </w:p>
    <w:p>
      <w:r>
        <w:t>The choice of rotation parameterization has long been recognized as a key factor in the stability and efficiency of learning-based pose prediction. While continuous higher-dimensional mappings such as 6D offer favorable optimization properties, minimal representations remain attractive because of their compactness, motivating continued work on ambiguity-aware losses and geometry-aware supervision.</w:t>
      </w:r>
    </w:p>
    <w:p>
      <w:pPr>
        <w:pStyle w:val="Heading1"/>
      </w:pPr>
      <w:r>
        <w:t>3. Methods</w:t>
      </w:r>
    </w:p>
    <w:p>
      <w:r>
        <w:t>We compare continuous representations, minimal Lie-algebraic mappings, and chart-based multi-hypothesis models under a matched training and evaluation protocol. To probe whether loss design can mitigate antipodal instability in minimal mappings, we evaluate a FullFix variant that combines ambiguity-aware supervision with architectural hardening.</w:t>
      </w:r>
    </w:p>
    <w:p>
      <w:pPr>
        <w:pStyle w:val="Heading1"/>
      </w:pPr>
      <w:r>
        <w:t>4. Experimental Setup</w:t>
      </w:r>
    </w:p>
    <w:p>
      <w:r>
        <w:t>Our synthetic benchmark consists of 25 million sample pairs with broad SO(3) coverage, emphasizing the hard-angle regime near the antipodal boundary. We prioritize worst-case metrics, specifically the p99 geodesic error and the failure rate above 30 degrees.</w:t>
      </w:r>
    </w:p>
    <w:p>
      <w:pPr>
        <w:pStyle w:val="Heading1"/>
      </w:pPr>
      <w:r>
        <w:t>5. Main Benchmark Results</w:t>
      </w:r>
    </w:p>
    <w:p>
      <w:r>
        <w:t>Across the synthetic benchmark, low-tail continuous methods form the clear high-reliability tier. Although median errors are relatively close across methods, tail behavior differs sharply.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Representation</w:t>
            </w:r>
          </w:p>
        </w:tc>
        <w:tc>
          <w:tcPr>
            <w:tcW w:type="dxa" w:w="2160"/>
          </w:tcPr>
          <w:p>
            <w:r>
              <w:t>Median Error (°)</w:t>
            </w:r>
          </w:p>
        </w:tc>
        <w:tc>
          <w:tcPr>
            <w:tcW w:type="dxa" w:w="2160"/>
          </w:tcPr>
          <w:p>
            <w:r>
              <w:t>p99 Error (°)</w:t>
            </w:r>
          </w:p>
        </w:tc>
        <w:tc>
          <w:tcPr>
            <w:tcW w:type="dxa" w:w="2160"/>
          </w:tcPr>
          <w:p>
            <w:r>
              <w:t>Fail Rate (&gt;30°)</w:t>
            </w:r>
          </w:p>
        </w:tc>
      </w:tr>
      <w:tr>
        <w:tc>
          <w:tcPr>
            <w:tcW w:type="dxa" w:w="2160"/>
          </w:tcPr>
          <w:p>
            <w:r>
              <w:t>SVD</w:t>
            </w:r>
          </w:p>
        </w:tc>
        <w:tc>
          <w:tcPr>
            <w:tcW w:type="dxa" w:w="2160"/>
          </w:tcPr>
          <w:p>
            <w:r>
              <w:t>1.95</w:t>
            </w:r>
          </w:p>
        </w:tc>
        <w:tc>
          <w:tcPr>
            <w:tcW w:type="dxa" w:w="2160"/>
          </w:tcPr>
          <w:p>
            <w:r>
              <w:t>4.27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6D</w:t>
            </w:r>
          </w:p>
        </w:tc>
        <w:tc>
          <w:tcPr>
            <w:tcW w:type="dxa" w:w="2160"/>
          </w:tcPr>
          <w:p>
            <w:r>
              <w:t>1.81</w:t>
            </w:r>
          </w:p>
        </w:tc>
        <w:tc>
          <w:tcPr>
            <w:tcW w:type="dxa" w:w="2160"/>
          </w:tcPr>
          <w:p>
            <w:r>
              <w:t>3.77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  <w:tr>
        <w:tc>
          <w:tcPr>
            <w:tcW w:type="dxa" w:w="2160"/>
          </w:tcPr>
          <w:p>
            <w:r>
              <w:t>ATLAS</w:t>
            </w:r>
          </w:p>
        </w:tc>
        <w:tc>
          <w:tcPr>
            <w:tcW w:type="dxa" w:w="2160"/>
          </w:tcPr>
          <w:p>
            <w:r>
              <w:t>3.33</w:t>
            </w:r>
          </w:p>
        </w:tc>
        <w:tc>
          <w:tcPr>
            <w:tcW w:type="dxa" w:w="2160"/>
          </w:tcPr>
          <w:p>
            <w:r>
              <w:t>28.76</w:t>
            </w:r>
          </w:p>
        </w:tc>
        <w:tc>
          <w:tcPr>
            <w:tcW w:type="dxa" w:w="2160"/>
          </w:tcPr>
          <w:p>
            <w:r>
              <w:t>0.9%</w:t>
            </w:r>
          </w:p>
        </w:tc>
      </w:tr>
      <w:tr>
        <w:tc>
          <w:tcPr>
            <w:tcW w:type="dxa" w:w="2160"/>
          </w:tcPr>
          <w:p>
            <w:r>
              <w:t>QUAT</w:t>
            </w:r>
          </w:p>
        </w:tc>
        <w:tc>
          <w:tcPr>
            <w:tcW w:type="dxa" w:w="2160"/>
          </w:tcPr>
          <w:p>
            <w:r>
              <w:t>3.98</w:t>
            </w:r>
          </w:p>
        </w:tc>
        <w:tc>
          <w:tcPr>
            <w:tcW w:type="dxa" w:w="2160"/>
          </w:tcPr>
          <w:p>
            <w:r>
              <w:t>57.39</w:t>
            </w:r>
          </w:p>
        </w:tc>
        <w:tc>
          <w:tcPr>
            <w:tcW w:type="dxa" w:w="2160"/>
          </w:tcPr>
          <w:p>
            <w:r>
              <w:t>2.3%</w:t>
            </w:r>
          </w:p>
        </w:tc>
      </w:tr>
    </w:tbl>
    <w:p>
      <w:pPr>
        <w:jc w:val="center"/>
      </w:pPr>
      <w:r>
        <w:t>Table 1. Main synthetic benchmark results (N=5000).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925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99_vs_task_succ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25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Figure: p99 predicts robot success.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873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error_sweep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7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Figure: Monotonic degradation and the 'Cliff Zone'.</w:t>
      </w:r>
    </w:p>
    <w:p>
      <w:pPr>
        <w:pStyle w:val="Heading1"/>
      </w:pPr>
      <w:r>
        <w:t>6. Failure Anatomy</w:t>
      </w:r>
    </w:p>
    <w:p>
      <w:r>
        <w:t>Error stratified by ground-truth rotation magnitude reveals that failures are concentrated near the antipodal boundary. Ablation results suggest that specialized objectives can reduce tail failures, though they do not fully remove representational fragility.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8654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failure_taxonom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65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Figure: Failure taxonomy across error zones.</w:t>
      </w:r>
    </w:p>
    <w:p>
      <w:pPr>
        <w:pStyle w:val="Heading1"/>
      </w:pPr>
      <w:r>
        <w:t>7. Downstream Robotics Validation</w:t>
      </w:r>
    </w:p>
    <w:p>
      <w:r>
        <w:t>To study the operational consequences of error patterns, we evaluate performance in robosuite. Percentile-based sweeps reveal a 'cliff zone' where task success degrades sharply once errors enter the upper tail of a method's distribution.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Live Success Rate</w:t>
            </w:r>
          </w:p>
        </w:tc>
      </w:tr>
      <w:tr>
        <w:tc>
          <w:tcPr>
            <w:tcW w:type="dxa" w:w="4320"/>
          </w:tcPr>
          <w:p>
            <w:r>
              <w:t>SVD (ours)</w:t>
            </w:r>
          </w:p>
        </w:tc>
        <w:tc>
          <w:tcPr>
            <w:tcW w:type="dxa" w:w="4320"/>
          </w:tcPr>
          <w:p>
            <w:r>
              <w:t>100.0%</w:t>
            </w:r>
          </w:p>
        </w:tc>
      </w:tr>
      <w:tr>
        <w:tc>
          <w:tcPr>
            <w:tcW w:type="dxa" w:w="4320"/>
          </w:tcPr>
          <w:p>
            <w:r>
              <w:t>6D</w:t>
            </w:r>
          </w:p>
        </w:tc>
        <w:tc>
          <w:tcPr>
            <w:tcW w:type="dxa" w:w="4320"/>
          </w:tcPr>
          <w:p>
            <w:r>
              <w:t>90.0%</w:t>
            </w:r>
          </w:p>
        </w:tc>
      </w:tr>
      <w:tr>
        <w:tc>
          <w:tcPr>
            <w:tcW w:type="dxa" w:w="4320"/>
          </w:tcPr>
          <w:p>
            <w:r>
              <w:t>Lie_Raw</w:t>
            </w:r>
          </w:p>
        </w:tc>
        <w:tc>
          <w:tcPr>
            <w:tcW w:type="dxa" w:w="4320"/>
          </w:tcPr>
          <w:p>
            <w:r>
              <w:t>80.0%</w:t>
            </w:r>
          </w:p>
        </w:tc>
      </w:tr>
      <w:tr>
        <w:tc>
          <w:tcPr>
            <w:tcW w:type="dxa" w:w="4320"/>
          </w:tcPr>
          <w:p>
            <w:r>
              <w:t>FullFix</w:t>
            </w:r>
          </w:p>
        </w:tc>
        <w:tc>
          <w:tcPr>
            <w:tcW w:type="dxa" w:w="4320"/>
          </w:tcPr>
          <w:p>
            <w:r>
              <w:t>90.0%</w:t>
            </w:r>
          </w:p>
        </w:tc>
      </w:tr>
    </w:tbl>
    <w:p>
      <w:pPr>
        <w:jc w:val="center"/>
      </w:pPr>
      <w:r>
        <w:t>Table 2. Live model-in-the-loop success rates.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7388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a_sim_panel_pickpl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38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Figure: Qualitative simulation outcomes.</w:t>
      </w:r>
    </w:p>
    <w:p>
      <w:pPr>
        <w:pStyle w:val="Heading1"/>
      </w:pPr>
      <w:r>
        <w:t>8. Conclusion</w:t>
      </w:r>
    </w:p>
    <w:p>
      <w:r>
        <w:t>Our findings provide strong evidence that p99 error is a useful predictor of downstream task reliability. For practitioners, these findings support using low-tail continuous representations as strong default choices.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