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888888"/>
          <w:sz w:val="28"/>
          <w:szCs w:val="28"/>
        </w:rPr>
        <w:t xml:space="preserve">MASTER'S THESIS</w:t>
      </w:r>
    </w:p>
    <w:p>
      <w:pPr>
        <w:spacing w:after="120" w:before="120"/>
      </w:pPr>
      <w:r>
        <w:t xml:space="preserve"/>
      </w:r>
    </w:p>
    <w:p>
      <w:pPr>
        <w:jc w:val="center"/>
      </w:pPr>
      <w:r>
        <w:rPr>
          <w:rFonts w:ascii="Arial" w:cs="Arial" w:eastAsia="Arial" w:hAnsi="Arial"/>
          <w:b/>
          <w:bCs/>
          <w:color w:val="1F3864"/>
          <w:sz w:val="40"/>
          <w:szCs w:val="40"/>
        </w:rPr>
        <w:t xml:space="preserve">Intelligent Email Triage and Automated Response</w:t>
      </w:r>
    </w:p>
    <w:p>
      <w:pPr>
        <w:jc w:val="center"/>
      </w:pPr>
      <w:r>
        <w:rPr>
          <w:rFonts w:ascii="Arial" w:cs="Arial" w:eastAsia="Arial" w:hAnsi="Arial"/>
          <w:b/>
          <w:bCs/>
          <w:color w:val="1F3864"/>
          <w:sz w:val="40"/>
          <w:szCs w:val="40"/>
        </w:rPr>
        <w:t xml:space="preserve">Generation Using RAG-Augmented LLM Agents</w:t>
      </w:r>
    </w:p>
    <w:p>
      <w:pPr>
        <w:spacing w:after="120" w:before="120"/>
      </w:pPr>
      <w:r>
        <w:t xml:space="preserve"/>
      </w:r>
    </w:p>
    <w:p>
      <w:pPr>
        <w:spacing w:after="120" w:before="120"/>
      </w:pPr>
      <w:r>
        <w:t xml:space="preserve"/>
      </w:r>
    </w:p>
    <w:p>
      <w:pPr>
        <w:jc w:val="center"/>
      </w:pPr>
      <w:r>
        <w:rPr>
          <w:rFonts w:ascii="Arial" w:cs="Arial" w:eastAsia="Arial" w:hAnsi="Arial"/>
          <w:color w:val="888888"/>
          <w:sz w:val="24"/>
          <w:szCs w:val="24"/>
        </w:rPr>
        <w:t xml:space="preserve">Submitted by</w:t>
      </w:r>
    </w:p>
    <w:p>
      <w:pPr>
        <w:jc w:val="center"/>
      </w:pPr>
      <w:r>
        <w:rPr>
          <w:rFonts w:ascii="Arial" w:cs="Arial" w:eastAsia="Arial" w:hAnsi="Arial"/>
          <w:b/>
          <w:bCs/>
          <w:color w:val="2E75B6"/>
          <w:sz w:val="32"/>
          <w:szCs w:val="32"/>
        </w:rPr>
        <w:t xml:space="preserve">Suhas Venkat</w:t>
      </w:r>
    </w:p>
    <w:p>
      <w:pPr>
        <w:spacing w:after="120" w:before="120"/>
      </w:pPr>
      <w:r>
        <w:t xml:space="preserve"/>
      </w:r>
    </w:p>
    <w:p>
      <w:pPr>
        <w:jc w:val="center"/>
      </w:pPr>
      <w:r>
        <w:rPr>
          <w:rFonts w:ascii="Arial" w:cs="Arial" w:eastAsia="Arial" w:hAnsi="Arial"/>
          <w:sz w:val="24"/>
          <w:szCs w:val="24"/>
        </w:rPr>
        <w:t xml:space="preserve">M.Sc. Data Science</w:t>
      </w:r>
    </w:p>
    <w:p>
      <w:pPr>
        <w:jc w:val="center"/>
      </w:pPr>
      <w:r>
        <w:rPr>
          <w:rFonts w:ascii="Arial" w:cs="Arial" w:eastAsia="Arial" w:hAnsi="Arial"/>
          <w:sz w:val="24"/>
          <w:szCs w:val="24"/>
        </w:rPr>
        <w:t xml:space="preserve">University of Europe for Applied Sciences</w:t>
      </w:r>
    </w:p>
    <w:p>
      <w:pPr>
        <w:spacing w:after="120" w:before="120"/>
      </w:pPr>
      <w:r>
        <w:t xml:space="preserve"/>
      </w:r>
    </w:p>
    <w:p>
      <w:pPr>
        <w:spacing w:after="120" w:before="120"/>
      </w:pPr>
      <w:r>
        <w:t xml:space="preserve"/>
      </w:r>
    </w:p>
    <w:p>
      <w:pPr>
        <w:jc w:val="center"/>
      </w:pPr>
      <w:r>
        <w:rPr>
          <w:rFonts w:ascii="Arial" w:cs="Arial" w:eastAsia="Arial" w:hAnsi="Arial"/>
          <w:color w:val="888888"/>
          <w:sz w:val="24"/>
          <w:szCs w:val="24"/>
        </w:rPr>
        <w:t xml:space="preserve">Supervised by</w:t>
      </w:r>
    </w:p>
    <w:p>
      <w:pPr>
        <w:jc w:val="center"/>
      </w:pPr>
      <w:r>
        <w:rPr>
          <w:rFonts w:ascii="Arial" w:cs="Arial" w:eastAsia="Arial" w:hAnsi="Arial"/>
          <w:b/>
          <w:bCs/>
          <w:sz w:val="24"/>
          <w:szCs w:val="24"/>
        </w:rPr>
        <w:t xml:space="preserve">Prof. Dr. Raja Hashim Ali</w:t>
      </w:r>
    </w:p>
    <w:p>
      <w:pPr>
        <w:spacing w:after="120" w:before="120"/>
      </w:pPr>
      <w:r>
        <w:t xml:space="preserve"/>
      </w:r>
    </w:p>
    <w:p>
      <w:pPr>
        <w:spacing w:after="120" w:before="120"/>
      </w:pPr>
      <w:r>
        <w:t xml:space="preserve"/>
      </w:r>
    </w:p>
    <w:p>
      <w:pPr>
        <w:jc w:val="center"/>
      </w:pPr>
      <w:r>
        <w:rPr>
          <w:rFonts w:ascii="Arial" w:cs="Arial" w:eastAsia="Arial" w:hAnsi="Arial"/>
          <w:color w:val="888888"/>
          <w:sz w:val="24"/>
          <w:szCs w:val="24"/>
        </w:rPr>
        <w:t xml:space="preserve">April 2026</w:t>
      </w:r>
    </w:p>
    <w:p>
      <w:r>
        <w:br w:type="page"/>
      </w:r>
    </w:p>
    <w:p>
      <w:pPr>
        <w:pStyle w:val="Heading1"/>
        <w:spacing w:after="240" w:before="480"/>
      </w:pPr>
      <w:r>
        <w:rPr>
          <w:rFonts w:ascii="Arial" w:cs="Arial" w:eastAsia="Arial" w:hAnsi="Arial"/>
          <w:b/>
          <w:bCs/>
          <w:color w:val="1F3864"/>
          <w:sz w:val="32"/>
          <w:szCs w:val="32"/>
        </w:rPr>
        <w:t xml:space="preserve">Abstract</w:t>
      </w:r>
    </w:p>
    <w:p>
      <w:pPr>
        <w:spacing w:after="120" w:before="120" w:line="360"/>
        <w:jc w:val="both"/>
      </w:pPr>
      <w:r>
        <w:rPr>
          <w:rFonts w:ascii="Arial" w:cs="Arial" w:eastAsia="Arial" w:hAnsi="Arial"/>
          <w:sz w:val="24"/>
          <w:szCs w:val="24"/>
        </w:rPr>
        <w:t xml:space="preserve">Customer support operations face increasing pressure to handle large volumes of incoming emails efficiently while maintaining response quality. This thesis presents an intelligent email triage and automated response generation system built upon a Retrieval-Augmented Generation (RAG) architecture orchestrated through LangGraph state machines. The proposed system combines intent classification, knowledge base retrieval via FAISS, confidence-aware escalation, and Mistral-7B-Instruct response generation to automate customer support workflows.</w:t>
      </w:r>
    </w:p>
    <w:p>
      <w:pPr>
        <w:spacing w:after="120" w:before="120" w:line="360"/>
        <w:jc w:val="both"/>
      </w:pPr>
      <w:r>
        <w:rPr>
          <w:rFonts w:ascii="Arial" w:cs="Arial" w:eastAsia="Arial" w:hAnsi="Arial"/>
          <w:sz w:val="24"/>
          <w:szCs w:val="24"/>
        </w:rPr>
        <w:t xml:space="preserve">The system was evaluated on the Twitter Customer Support dataset (n=1,200 emails, 200 per intent across six categories). The proposed LangGraph-RAG pipeline achieves an intent classification F1-score of 0.689, outperforming the keyword TF-IDF baseline (F1=0.565) and matching fine-tuned BERT performance (F1=0.683). Response generation quality measured using ROUGE-1 (0.148), ROUGE-L (0.104), and BLEU-4 (0.012) demonstrates competent automated response capabilities when augmented with domain-specific knowledge bases. Load testing using Locust confirmed that local Mistral-7B deployment achieves mean latency of 16,293ms under 100 concurrent users, underscoring the need for GPU acceleration in production deployments.</w:t>
      </w:r>
    </w:p>
    <w:p>
      <w:pPr>
        <w:spacing w:after="120" w:before="120" w:line="360"/>
        <w:jc w:val="both"/>
      </w:pPr>
      <w:r>
        <w:rPr>
          <w:rFonts w:ascii="Arial" w:cs="Arial" w:eastAsia="Arial" w:hAnsi="Arial"/>
          <w:sz w:val="24"/>
          <w:szCs w:val="24"/>
        </w:rPr>
        <w:t xml:space="preserve">Human evaluation by three independent annotators yielded a mean overall quality score of 4.48/5.0. Statistical significance of performance improvements was confirmed through McNemar's test (statistic=10.0, p=0.00145, p&lt;0.05). The confidence-aware escalation mechanism routed 38% of emails to human agents, demonstrating appropriate handling of complex customer requests.</w:t>
      </w:r>
    </w:p>
    <w:p>
      <w:pPr>
        <w:spacing w:after="120" w:before="120"/>
      </w:pPr>
      <w:r>
        <w:t xml:space="preserve"/>
      </w:r>
    </w:p>
    <w:p>
      <w:pPr>
        <w:spacing w:after="120" w:before="120" w:line="360"/>
        <w:jc w:val="both"/>
      </w:pPr>
      <w:r>
        <w:rPr>
          <w:rFonts w:ascii="Arial" w:cs="Arial" w:eastAsia="Arial" w:hAnsi="Arial"/>
          <w:i/>
          <w:iCs/>
          <w:sz w:val="24"/>
          <w:szCs w:val="24"/>
        </w:rPr>
        <w:t xml:space="preserve">Keywords: Large Language Models, Retrieval-Augmented Generation, LangGraph, Customer Support Automation, Email Triage, Intent Classification, FAISS, Mistral-7B, Twitter Support Dataset</w:t>
      </w:r>
    </w:p>
    <w:p>
      <w:r>
        <w:br w:type="page"/>
      </w:r>
    </w:p>
    <w:p>
      <w:pPr>
        <w:pStyle w:val="Heading1"/>
        <w:spacing w:after="240" w:before="480"/>
      </w:pPr>
      <w:r>
        <w:rPr>
          <w:rFonts w:ascii="Arial" w:cs="Arial" w:eastAsia="Arial" w:hAnsi="Arial"/>
          <w:b/>
          <w:bCs/>
          <w:color w:val="1F3864"/>
          <w:sz w:val="32"/>
          <w:szCs w:val="32"/>
        </w:rPr>
        <w:t xml:space="preserve">Table of Contents</w:t>
      </w:r>
    </w:p>
    <w:p>
      <w:pPr>
        <w:tabs>
          <w:tab w:val="right" w:pos="8000"/>
        </w:tabs>
        <w:spacing w:after="60" w:before="60"/>
      </w:pPr>
      <w:r>
        <w:rPr>
          <w:rFonts w:ascii="Arial" w:cs="Arial" w:eastAsia="Arial" w:hAnsi="Arial"/>
          <w:sz w:val="22"/>
          <w:szCs w:val="22"/>
        </w:rPr>
        <w:t xml:space="preserve">1. Introduction</w:t>
      </w:r>
      <w:r>
        <w:rPr>
          <w:rFonts w:ascii="Arial" w:cs="Arial" w:eastAsia="Arial" w:hAnsi="Arial"/>
          <w:sz w:val="22"/>
          <w:szCs w:val="22"/>
        </w:rPr>
        <w:t xml:space="preserve">	5</w:t>
      </w:r>
    </w:p>
    <w:p>
      <w:pPr>
        <w:tabs>
          <w:tab w:val="right" w:pos="8000"/>
        </w:tabs>
        <w:spacing w:after="60" w:before="60"/>
      </w:pPr>
      <w:r>
        <w:rPr>
          <w:rFonts w:ascii="Arial" w:cs="Arial" w:eastAsia="Arial" w:hAnsi="Arial"/>
          <w:sz w:val="22"/>
          <w:szCs w:val="22"/>
        </w:rPr>
        <w:t xml:space="preserve">   1.1 Background and Motivation</w:t>
      </w:r>
      <w:r>
        <w:rPr>
          <w:rFonts w:ascii="Arial" w:cs="Arial" w:eastAsia="Arial" w:hAnsi="Arial"/>
          <w:sz w:val="22"/>
          <w:szCs w:val="22"/>
        </w:rPr>
        <w:t xml:space="preserve">	5</w:t>
      </w:r>
    </w:p>
    <w:p>
      <w:pPr>
        <w:tabs>
          <w:tab w:val="right" w:pos="8000"/>
        </w:tabs>
        <w:spacing w:after="60" w:before="60"/>
      </w:pPr>
      <w:r>
        <w:rPr>
          <w:rFonts w:ascii="Arial" w:cs="Arial" w:eastAsia="Arial" w:hAnsi="Arial"/>
          <w:sz w:val="22"/>
          <w:szCs w:val="22"/>
        </w:rPr>
        <w:t xml:space="preserve">   1.2 Problem Statement</w:t>
      </w:r>
      <w:r>
        <w:rPr>
          <w:rFonts w:ascii="Arial" w:cs="Arial" w:eastAsia="Arial" w:hAnsi="Arial"/>
          <w:sz w:val="22"/>
          <w:szCs w:val="22"/>
        </w:rPr>
        <w:t xml:space="preserve">	6</w:t>
      </w:r>
    </w:p>
    <w:p>
      <w:pPr>
        <w:tabs>
          <w:tab w:val="right" w:pos="8000"/>
        </w:tabs>
        <w:spacing w:after="60" w:before="60"/>
      </w:pPr>
      <w:r>
        <w:rPr>
          <w:rFonts w:ascii="Arial" w:cs="Arial" w:eastAsia="Arial" w:hAnsi="Arial"/>
          <w:sz w:val="22"/>
          <w:szCs w:val="22"/>
        </w:rPr>
        <w:t xml:space="preserve">   1.3 Research Questions</w:t>
      </w:r>
      <w:r>
        <w:rPr>
          <w:rFonts w:ascii="Arial" w:cs="Arial" w:eastAsia="Arial" w:hAnsi="Arial"/>
          <w:sz w:val="22"/>
          <w:szCs w:val="22"/>
        </w:rPr>
        <w:t xml:space="preserve">	6</w:t>
      </w:r>
    </w:p>
    <w:p>
      <w:pPr>
        <w:tabs>
          <w:tab w:val="right" w:pos="8000"/>
        </w:tabs>
        <w:spacing w:after="60" w:before="60"/>
      </w:pPr>
      <w:r>
        <w:rPr>
          <w:rFonts w:ascii="Arial" w:cs="Arial" w:eastAsia="Arial" w:hAnsi="Arial"/>
          <w:sz w:val="22"/>
          <w:szCs w:val="22"/>
        </w:rPr>
        <w:t xml:space="preserve">   1.4 Contributions</w:t>
      </w:r>
      <w:r>
        <w:rPr>
          <w:rFonts w:ascii="Arial" w:cs="Arial" w:eastAsia="Arial" w:hAnsi="Arial"/>
          <w:sz w:val="22"/>
          <w:szCs w:val="22"/>
        </w:rPr>
        <w:t xml:space="preserve">	7</w:t>
      </w:r>
    </w:p>
    <w:p>
      <w:pPr>
        <w:tabs>
          <w:tab w:val="right" w:pos="8000"/>
        </w:tabs>
        <w:spacing w:after="60" w:before="60"/>
      </w:pPr>
      <w:r>
        <w:rPr>
          <w:rFonts w:ascii="Arial" w:cs="Arial" w:eastAsia="Arial" w:hAnsi="Arial"/>
          <w:sz w:val="22"/>
          <w:szCs w:val="22"/>
        </w:rPr>
        <w:t xml:space="preserve">   1.5 Thesis Structure</w:t>
      </w:r>
      <w:r>
        <w:rPr>
          <w:rFonts w:ascii="Arial" w:cs="Arial" w:eastAsia="Arial" w:hAnsi="Arial"/>
          <w:sz w:val="22"/>
          <w:szCs w:val="22"/>
        </w:rPr>
        <w:t xml:space="preserve">	7</w:t>
      </w:r>
    </w:p>
    <w:p>
      <w:pPr>
        <w:tabs>
          <w:tab w:val="right" w:pos="8000"/>
        </w:tabs>
        <w:spacing w:after="60" w:before="60"/>
      </w:pPr>
      <w:r>
        <w:rPr>
          <w:rFonts w:ascii="Arial" w:cs="Arial" w:eastAsia="Arial" w:hAnsi="Arial"/>
          <w:sz w:val="22"/>
          <w:szCs w:val="22"/>
        </w:rPr>
        <w:t xml:space="preserve">2. Literature Review</w:t>
      </w:r>
      <w:r>
        <w:rPr>
          <w:rFonts w:ascii="Arial" w:cs="Arial" w:eastAsia="Arial" w:hAnsi="Arial"/>
          <w:sz w:val="22"/>
          <w:szCs w:val="22"/>
        </w:rPr>
        <w:t xml:space="preserve">	8</w:t>
      </w:r>
    </w:p>
    <w:p>
      <w:pPr>
        <w:tabs>
          <w:tab w:val="right" w:pos="8000"/>
        </w:tabs>
        <w:spacing w:after="60" w:before="60"/>
      </w:pPr>
      <w:r>
        <w:rPr>
          <w:rFonts w:ascii="Arial" w:cs="Arial" w:eastAsia="Arial" w:hAnsi="Arial"/>
          <w:sz w:val="22"/>
          <w:szCs w:val="22"/>
        </w:rPr>
        <w:t xml:space="preserve">   2.1 Large Language Models in NLP</w:t>
      </w:r>
      <w:r>
        <w:rPr>
          <w:rFonts w:ascii="Arial" w:cs="Arial" w:eastAsia="Arial" w:hAnsi="Arial"/>
          <w:sz w:val="22"/>
          <w:szCs w:val="22"/>
        </w:rPr>
        <w:t xml:space="preserve">	8</w:t>
      </w:r>
    </w:p>
    <w:p>
      <w:pPr>
        <w:tabs>
          <w:tab w:val="right" w:pos="8000"/>
        </w:tabs>
        <w:spacing w:after="60" w:before="60"/>
      </w:pPr>
      <w:r>
        <w:rPr>
          <w:rFonts w:ascii="Arial" w:cs="Arial" w:eastAsia="Arial" w:hAnsi="Arial"/>
          <w:sz w:val="22"/>
          <w:szCs w:val="22"/>
        </w:rPr>
        <w:t xml:space="preserve">   2.2 Retrieval-Augmented Generation</w:t>
      </w:r>
      <w:r>
        <w:rPr>
          <w:rFonts w:ascii="Arial" w:cs="Arial" w:eastAsia="Arial" w:hAnsi="Arial"/>
          <w:sz w:val="22"/>
          <w:szCs w:val="22"/>
        </w:rPr>
        <w:t xml:space="preserve">	9</w:t>
      </w:r>
    </w:p>
    <w:p>
      <w:pPr>
        <w:tabs>
          <w:tab w:val="right" w:pos="8000"/>
        </w:tabs>
        <w:spacing w:after="60" w:before="60"/>
      </w:pPr>
      <w:r>
        <w:rPr>
          <w:rFonts w:ascii="Arial" w:cs="Arial" w:eastAsia="Arial" w:hAnsi="Arial"/>
          <w:sz w:val="22"/>
          <w:szCs w:val="22"/>
        </w:rPr>
        <w:t xml:space="preserve">   2.3 Customer Support Automation</w:t>
      </w:r>
      <w:r>
        <w:rPr>
          <w:rFonts w:ascii="Arial" w:cs="Arial" w:eastAsia="Arial" w:hAnsi="Arial"/>
          <w:sz w:val="22"/>
          <w:szCs w:val="22"/>
        </w:rPr>
        <w:t xml:space="preserve">	10</w:t>
      </w:r>
    </w:p>
    <w:p>
      <w:pPr>
        <w:tabs>
          <w:tab w:val="right" w:pos="8000"/>
        </w:tabs>
        <w:spacing w:after="60" w:before="60"/>
      </w:pPr>
      <w:r>
        <w:rPr>
          <w:rFonts w:ascii="Arial" w:cs="Arial" w:eastAsia="Arial" w:hAnsi="Arial"/>
          <w:sz w:val="22"/>
          <w:szCs w:val="22"/>
        </w:rPr>
        <w:t xml:space="preserve">   2.4 LLM Agent Frameworks</w:t>
      </w:r>
      <w:r>
        <w:rPr>
          <w:rFonts w:ascii="Arial" w:cs="Arial" w:eastAsia="Arial" w:hAnsi="Arial"/>
          <w:sz w:val="22"/>
          <w:szCs w:val="22"/>
        </w:rPr>
        <w:t xml:space="preserve">	11</w:t>
      </w:r>
    </w:p>
    <w:p>
      <w:pPr>
        <w:tabs>
          <w:tab w:val="right" w:pos="8000"/>
        </w:tabs>
        <w:spacing w:after="60" w:before="60"/>
      </w:pPr>
      <w:r>
        <w:rPr>
          <w:rFonts w:ascii="Arial" w:cs="Arial" w:eastAsia="Arial" w:hAnsi="Arial"/>
          <w:sz w:val="22"/>
          <w:szCs w:val="22"/>
        </w:rPr>
        <w:t xml:space="preserve">   2.5 Evaluation Metrics</w:t>
      </w:r>
      <w:r>
        <w:rPr>
          <w:rFonts w:ascii="Arial" w:cs="Arial" w:eastAsia="Arial" w:hAnsi="Arial"/>
          <w:sz w:val="22"/>
          <w:szCs w:val="22"/>
        </w:rPr>
        <w:t xml:space="preserve">	12</w:t>
      </w:r>
    </w:p>
    <w:p>
      <w:pPr>
        <w:tabs>
          <w:tab w:val="right" w:pos="8000"/>
        </w:tabs>
        <w:spacing w:after="60" w:before="60"/>
      </w:pPr>
      <w:r>
        <w:rPr>
          <w:rFonts w:ascii="Arial" w:cs="Arial" w:eastAsia="Arial" w:hAnsi="Arial"/>
          <w:sz w:val="22"/>
          <w:szCs w:val="22"/>
        </w:rPr>
        <w:t xml:space="preserve">3. Methodology</w:t>
      </w:r>
      <w:r>
        <w:rPr>
          <w:rFonts w:ascii="Arial" w:cs="Arial" w:eastAsia="Arial" w:hAnsi="Arial"/>
          <w:sz w:val="22"/>
          <w:szCs w:val="22"/>
        </w:rPr>
        <w:t xml:space="preserve">	13</w:t>
      </w:r>
    </w:p>
    <w:p>
      <w:pPr>
        <w:tabs>
          <w:tab w:val="right" w:pos="8000"/>
        </w:tabs>
        <w:spacing w:after="60" w:before="60"/>
      </w:pPr>
      <w:r>
        <w:rPr>
          <w:rFonts w:ascii="Arial" w:cs="Arial" w:eastAsia="Arial" w:hAnsi="Arial"/>
          <w:sz w:val="22"/>
          <w:szCs w:val="22"/>
        </w:rPr>
        <w:t xml:space="preserve">   3.1 System Architecture Overview</w:t>
      </w:r>
      <w:r>
        <w:rPr>
          <w:rFonts w:ascii="Arial" w:cs="Arial" w:eastAsia="Arial" w:hAnsi="Arial"/>
          <w:sz w:val="22"/>
          <w:szCs w:val="22"/>
        </w:rPr>
        <w:t xml:space="preserve">	13</w:t>
      </w:r>
    </w:p>
    <w:p>
      <w:pPr>
        <w:tabs>
          <w:tab w:val="right" w:pos="8000"/>
        </w:tabs>
        <w:spacing w:after="60" w:before="60"/>
      </w:pPr>
      <w:r>
        <w:rPr>
          <w:rFonts w:ascii="Arial" w:cs="Arial" w:eastAsia="Arial" w:hAnsi="Arial"/>
          <w:sz w:val="22"/>
          <w:szCs w:val="22"/>
        </w:rPr>
        <w:t xml:space="preserve">   3.2 LangGraph Pipeline Design</w:t>
      </w:r>
      <w:r>
        <w:rPr>
          <w:rFonts w:ascii="Arial" w:cs="Arial" w:eastAsia="Arial" w:hAnsi="Arial"/>
          <w:sz w:val="22"/>
          <w:szCs w:val="22"/>
        </w:rPr>
        <w:t xml:space="preserve">	14</w:t>
      </w:r>
    </w:p>
    <w:p>
      <w:pPr>
        <w:tabs>
          <w:tab w:val="right" w:pos="8000"/>
        </w:tabs>
        <w:spacing w:after="60" w:before="60"/>
      </w:pPr>
      <w:r>
        <w:rPr>
          <w:rFonts w:ascii="Arial" w:cs="Arial" w:eastAsia="Arial" w:hAnsi="Arial"/>
          <w:sz w:val="22"/>
          <w:szCs w:val="22"/>
        </w:rPr>
        <w:t xml:space="preserve">   3.3 Intent Classification</w:t>
      </w:r>
      <w:r>
        <w:rPr>
          <w:rFonts w:ascii="Arial" w:cs="Arial" w:eastAsia="Arial" w:hAnsi="Arial"/>
          <w:sz w:val="22"/>
          <w:szCs w:val="22"/>
        </w:rPr>
        <w:t xml:space="preserve">	14</w:t>
      </w:r>
    </w:p>
    <w:p>
      <w:pPr>
        <w:tabs>
          <w:tab w:val="right" w:pos="8000"/>
        </w:tabs>
        <w:spacing w:after="60" w:before="60"/>
      </w:pPr>
      <w:r>
        <w:rPr>
          <w:rFonts w:ascii="Arial" w:cs="Arial" w:eastAsia="Arial" w:hAnsi="Arial"/>
          <w:sz w:val="22"/>
          <w:szCs w:val="22"/>
        </w:rPr>
        <w:t xml:space="preserve">   3.4 Knowledge Base and FAISS Retrieval</w:t>
      </w:r>
      <w:r>
        <w:rPr>
          <w:rFonts w:ascii="Arial" w:cs="Arial" w:eastAsia="Arial" w:hAnsi="Arial"/>
          <w:sz w:val="22"/>
          <w:szCs w:val="22"/>
        </w:rPr>
        <w:t xml:space="preserve">	15</w:t>
      </w:r>
    </w:p>
    <w:p>
      <w:pPr>
        <w:tabs>
          <w:tab w:val="right" w:pos="8000"/>
        </w:tabs>
        <w:spacing w:after="60" w:before="60"/>
      </w:pPr>
      <w:r>
        <w:rPr>
          <w:rFonts w:ascii="Arial" w:cs="Arial" w:eastAsia="Arial" w:hAnsi="Arial"/>
          <w:sz w:val="22"/>
          <w:szCs w:val="22"/>
        </w:rPr>
        <w:t xml:space="preserve">   3.5 Response Generation with Mistral-7B</w:t>
      </w:r>
      <w:r>
        <w:rPr>
          <w:rFonts w:ascii="Arial" w:cs="Arial" w:eastAsia="Arial" w:hAnsi="Arial"/>
          <w:sz w:val="22"/>
          <w:szCs w:val="22"/>
        </w:rPr>
        <w:t xml:space="preserve">	15</w:t>
      </w:r>
    </w:p>
    <w:p>
      <w:pPr>
        <w:tabs>
          <w:tab w:val="right" w:pos="8000"/>
        </w:tabs>
        <w:spacing w:after="60" w:before="60"/>
      </w:pPr>
      <w:r>
        <w:rPr>
          <w:rFonts w:ascii="Arial" w:cs="Arial" w:eastAsia="Arial" w:hAnsi="Arial"/>
          <w:sz w:val="22"/>
          <w:szCs w:val="22"/>
        </w:rPr>
        <w:t xml:space="preserve">   3.6 Confidence-Aware Escalation</w:t>
      </w:r>
      <w:r>
        <w:rPr>
          <w:rFonts w:ascii="Arial" w:cs="Arial" w:eastAsia="Arial" w:hAnsi="Arial"/>
          <w:sz w:val="22"/>
          <w:szCs w:val="22"/>
        </w:rPr>
        <w:t xml:space="preserve">	16</w:t>
      </w:r>
    </w:p>
    <w:p>
      <w:pPr>
        <w:tabs>
          <w:tab w:val="right" w:pos="8000"/>
        </w:tabs>
        <w:spacing w:after="60" w:before="60"/>
      </w:pPr>
      <w:r>
        <w:rPr>
          <w:rFonts w:ascii="Arial" w:cs="Arial" w:eastAsia="Arial" w:hAnsi="Arial"/>
          <w:sz w:val="22"/>
          <w:szCs w:val="22"/>
        </w:rPr>
        <w:t xml:space="preserve">4. Implementation</w:t>
      </w:r>
      <w:r>
        <w:rPr>
          <w:rFonts w:ascii="Arial" w:cs="Arial" w:eastAsia="Arial" w:hAnsi="Arial"/>
          <w:sz w:val="22"/>
          <w:szCs w:val="22"/>
        </w:rPr>
        <w:t xml:space="preserve">	17</w:t>
      </w:r>
    </w:p>
    <w:p>
      <w:pPr>
        <w:tabs>
          <w:tab w:val="right" w:pos="8000"/>
        </w:tabs>
        <w:spacing w:after="60" w:before="60"/>
      </w:pPr>
      <w:r>
        <w:rPr>
          <w:rFonts w:ascii="Arial" w:cs="Arial" w:eastAsia="Arial" w:hAnsi="Arial"/>
          <w:sz w:val="22"/>
          <w:szCs w:val="22"/>
        </w:rPr>
        <w:t xml:space="preserve">   4.1 Technology Stack</w:t>
      </w:r>
      <w:r>
        <w:rPr>
          <w:rFonts w:ascii="Arial" w:cs="Arial" w:eastAsia="Arial" w:hAnsi="Arial"/>
          <w:sz w:val="22"/>
          <w:szCs w:val="22"/>
        </w:rPr>
        <w:t xml:space="preserve">	17</w:t>
      </w:r>
    </w:p>
    <w:p>
      <w:pPr>
        <w:tabs>
          <w:tab w:val="right" w:pos="8000"/>
        </w:tabs>
        <w:spacing w:after="60" w:before="60"/>
      </w:pPr>
      <w:r>
        <w:rPr>
          <w:rFonts w:ascii="Arial" w:cs="Arial" w:eastAsia="Arial" w:hAnsi="Arial"/>
          <w:sz w:val="22"/>
          <w:szCs w:val="22"/>
        </w:rPr>
        <w:t xml:space="preserve">   4.2 Pipeline Components</w:t>
      </w:r>
      <w:r>
        <w:rPr>
          <w:rFonts w:ascii="Arial" w:cs="Arial" w:eastAsia="Arial" w:hAnsi="Arial"/>
          <w:sz w:val="22"/>
          <w:szCs w:val="22"/>
        </w:rPr>
        <w:t xml:space="preserve">	17</w:t>
      </w:r>
    </w:p>
    <w:p>
      <w:pPr>
        <w:tabs>
          <w:tab w:val="right" w:pos="8000"/>
        </w:tabs>
        <w:spacing w:after="60" w:before="60"/>
      </w:pPr>
      <w:r>
        <w:rPr>
          <w:rFonts w:ascii="Arial" w:cs="Arial" w:eastAsia="Arial" w:hAnsi="Arial"/>
          <w:sz w:val="22"/>
          <w:szCs w:val="22"/>
        </w:rPr>
        <w:t xml:space="preserve">   4.3 Knowledge Base Construction</w:t>
      </w:r>
      <w:r>
        <w:rPr>
          <w:rFonts w:ascii="Arial" w:cs="Arial" w:eastAsia="Arial" w:hAnsi="Arial"/>
          <w:sz w:val="22"/>
          <w:szCs w:val="22"/>
        </w:rPr>
        <w:t xml:space="preserve">	18</w:t>
      </w:r>
    </w:p>
    <w:p>
      <w:pPr>
        <w:tabs>
          <w:tab w:val="right" w:pos="8000"/>
        </w:tabs>
        <w:spacing w:after="60" w:before="60"/>
      </w:pPr>
      <w:r>
        <w:rPr>
          <w:rFonts w:ascii="Arial" w:cs="Arial" w:eastAsia="Arial" w:hAnsi="Arial"/>
          <w:sz w:val="22"/>
          <w:szCs w:val="22"/>
        </w:rPr>
        <w:t xml:space="preserve">   4.4 REST API Design</w:t>
      </w:r>
      <w:r>
        <w:rPr>
          <w:rFonts w:ascii="Arial" w:cs="Arial" w:eastAsia="Arial" w:hAnsi="Arial"/>
          <w:sz w:val="22"/>
          <w:szCs w:val="22"/>
        </w:rPr>
        <w:t xml:space="preserve">	18</w:t>
      </w:r>
    </w:p>
    <w:p>
      <w:pPr>
        <w:tabs>
          <w:tab w:val="right" w:pos="8000"/>
        </w:tabs>
        <w:spacing w:after="60" w:before="60"/>
      </w:pPr>
      <w:r>
        <w:rPr>
          <w:rFonts w:ascii="Arial" w:cs="Arial" w:eastAsia="Arial" w:hAnsi="Arial"/>
          <w:sz w:val="22"/>
          <w:szCs w:val="22"/>
        </w:rPr>
        <w:t xml:space="preserve">5. Experimental Setup</w:t>
      </w:r>
      <w:r>
        <w:rPr>
          <w:rFonts w:ascii="Arial" w:cs="Arial" w:eastAsia="Arial" w:hAnsi="Arial"/>
          <w:sz w:val="22"/>
          <w:szCs w:val="22"/>
        </w:rPr>
        <w:t xml:space="preserve">	19</w:t>
      </w:r>
    </w:p>
    <w:p>
      <w:pPr>
        <w:tabs>
          <w:tab w:val="right" w:pos="8000"/>
        </w:tabs>
        <w:spacing w:after="60" w:before="60"/>
      </w:pPr>
      <w:r>
        <w:rPr>
          <w:rFonts w:ascii="Arial" w:cs="Arial" w:eastAsia="Arial" w:hAnsi="Arial"/>
          <w:sz w:val="22"/>
          <w:szCs w:val="22"/>
        </w:rPr>
        <w:t xml:space="preserve">   5.1 Datasets</w:t>
      </w:r>
      <w:r>
        <w:rPr>
          <w:rFonts w:ascii="Arial" w:cs="Arial" w:eastAsia="Arial" w:hAnsi="Arial"/>
          <w:sz w:val="22"/>
          <w:szCs w:val="22"/>
        </w:rPr>
        <w:t xml:space="preserve">	19</w:t>
      </w:r>
    </w:p>
    <w:p>
      <w:pPr>
        <w:tabs>
          <w:tab w:val="right" w:pos="8000"/>
        </w:tabs>
        <w:spacing w:after="60" w:before="60"/>
      </w:pPr>
      <w:r>
        <w:rPr>
          <w:rFonts w:ascii="Arial" w:cs="Arial" w:eastAsia="Arial" w:hAnsi="Arial"/>
          <w:sz w:val="22"/>
          <w:szCs w:val="22"/>
        </w:rPr>
        <w:t xml:space="preserve">   5.2 Baseline Systems</w:t>
      </w:r>
      <w:r>
        <w:rPr>
          <w:rFonts w:ascii="Arial" w:cs="Arial" w:eastAsia="Arial" w:hAnsi="Arial"/>
          <w:sz w:val="22"/>
          <w:szCs w:val="22"/>
        </w:rPr>
        <w:t xml:space="preserve">	19</w:t>
      </w:r>
    </w:p>
    <w:p>
      <w:pPr>
        <w:tabs>
          <w:tab w:val="right" w:pos="8000"/>
        </w:tabs>
        <w:spacing w:after="60" w:before="60"/>
      </w:pPr>
      <w:r>
        <w:rPr>
          <w:rFonts w:ascii="Arial" w:cs="Arial" w:eastAsia="Arial" w:hAnsi="Arial"/>
          <w:sz w:val="22"/>
          <w:szCs w:val="22"/>
        </w:rPr>
        <w:t xml:space="preserve">   5.3 Evaluation Metrics</w:t>
      </w:r>
      <w:r>
        <w:rPr>
          <w:rFonts w:ascii="Arial" w:cs="Arial" w:eastAsia="Arial" w:hAnsi="Arial"/>
          <w:sz w:val="22"/>
          <w:szCs w:val="22"/>
        </w:rPr>
        <w:t xml:space="preserve">	20</w:t>
      </w:r>
    </w:p>
    <w:p>
      <w:pPr>
        <w:tabs>
          <w:tab w:val="right" w:pos="8000"/>
        </w:tabs>
        <w:spacing w:after="60" w:before="60"/>
      </w:pPr>
      <w:r>
        <w:rPr>
          <w:rFonts w:ascii="Arial" w:cs="Arial" w:eastAsia="Arial" w:hAnsi="Arial"/>
          <w:sz w:val="22"/>
          <w:szCs w:val="22"/>
        </w:rPr>
        <w:t xml:space="preserve">   5.4 Human Evaluation Protocol</w:t>
      </w:r>
      <w:r>
        <w:rPr>
          <w:rFonts w:ascii="Arial" w:cs="Arial" w:eastAsia="Arial" w:hAnsi="Arial"/>
          <w:sz w:val="22"/>
          <w:szCs w:val="22"/>
        </w:rPr>
        <w:t xml:space="preserve">	20</w:t>
      </w:r>
    </w:p>
    <w:p>
      <w:pPr>
        <w:tabs>
          <w:tab w:val="right" w:pos="8000"/>
        </w:tabs>
        <w:spacing w:after="60" w:before="60"/>
      </w:pPr>
      <w:r>
        <w:rPr>
          <w:rFonts w:ascii="Arial" w:cs="Arial" w:eastAsia="Arial" w:hAnsi="Arial"/>
          <w:sz w:val="22"/>
          <w:szCs w:val="22"/>
        </w:rPr>
        <w:t xml:space="preserve">6. Results and Discussion</w:t>
      </w:r>
      <w:r>
        <w:rPr>
          <w:rFonts w:ascii="Arial" w:cs="Arial" w:eastAsia="Arial" w:hAnsi="Arial"/>
          <w:sz w:val="22"/>
          <w:szCs w:val="22"/>
        </w:rPr>
        <w:t xml:space="preserve">	21</w:t>
      </w:r>
    </w:p>
    <w:p>
      <w:pPr>
        <w:tabs>
          <w:tab w:val="right" w:pos="8000"/>
        </w:tabs>
        <w:spacing w:after="60" w:before="60"/>
      </w:pPr>
      <w:r>
        <w:rPr>
          <w:rFonts w:ascii="Arial" w:cs="Arial" w:eastAsia="Arial" w:hAnsi="Arial"/>
          <w:sz w:val="22"/>
          <w:szCs w:val="22"/>
        </w:rPr>
        <w:t xml:space="preserve">   6.1 RQ1: Baseline Comparison</w:t>
      </w:r>
      <w:r>
        <w:rPr>
          <w:rFonts w:ascii="Arial" w:cs="Arial" w:eastAsia="Arial" w:hAnsi="Arial"/>
          <w:sz w:val="22"/>
          <w:szCs w:val="22"/>
        </w:rPr>
        <w:t xml:space="preserve">	21</w:t>
      </w:r>
    </w:p>
    <w:p>
      <w:pPr>
        <w:tabs>
          <w:tab w:val="right" w:pos="8000"/>
        </w:tabs>
        <w:spacing w:after="60" w:before="60"/>
      </w:pPr>
      <w:r>
        <w:rPr>
          <w:rFonts w:ascii="Arial" w:cs="Arial" w:eastAsia="Arial" w:hAnsi="Arial"/>
          <w:sz w:val="22"/>
          <w:szCs w:val="22"/>
        </w:rPr>
        <w:t xml:space="preserve">   6.2 RQ2: RAG Configuration Analysis</w:t>
      </w:r>
      <w:r>
        <w:rPr>
          <w:rFonts w:ascii="Arial" w:cs="Arial" w:eastAsia="Arial" w:hAnsi="Arial"/>
          <w:sz w:val="22"/>
          <w:szCs w:val="22"/>
        </w:rPr>
        <w:t xml:space="preserve">	22</w:t>
      </w:r>
    </w:p>
    <w:p>
      <w:pPr>
        <w:tabs>
          <w:tab w:val="right" w:pos="8000"/>
        </w:tabs>
        <w:spacing w:after="60" w:before="60"/>
      </w:pPr>
      <w:r>
        <w:rPr>
          <w:rFonts w:ascii="Arial" w:cs="Arial" w:eastAsia="Arial" w:hAnsi="Arial"/>
          <w:sz w:val="22"/>
          <w:szCs w:val="22"/>
        </w:rPr>
        <w:t xml:space="preserve">   6.3 RQ3: Escalation Strategy</w:t>
      </w:r>
      <w:r>
        <w:rPr>
          <w:rFonts w:ascii="Arial" w:cs="Arial" w:eastAsia="Arial" w:hAnsi="Arial"/>
          <w:sz w:val="22"/>
          <w:szCs w:val="22"/>
        </w:rPr>
        <w:t xml:space="preserve">	23</w:t>
      </w:r>
    </w:p>
    <w:p>
      <w:pPr>
        <w:tabs>
          <w:tab w:val="right" w:pos="8000"/>
        </w:tabs>
        <w:spacing w:after="60" w:before="60"/>
      </w:pPr>
      <w:r>
        <w:rPr>
          <w:rFonts w:ascii="Arial" w:cs="Arial" w:eastAsia="Arial" w:hAnsi="Arial"/>
          <w:sz w:val="22"/>
          <w:szCs w:val="22"/>
        </w:rPr>
        <w:t xml:space="preserve">   6.4 RQ4: Robustness Analysis</w:t>
      </w:r>
      <w:r>
        <w:rPr>
          <w:rFonts w:ascii="Arial" w:cs="Arial" w:eastAsia="Arial" w:hAnsi="Arial"/>
          <w:sz w:val="22"/>
          <w:szCs w:val="22"/>
        </w:rPr>
        <w:t xml:space="preserve">	23</w:t>
      </w:r>
    </w:p>
    <w:p>
      <w:pPr>
        <w:tabs>
          <w:tab w:val="right" w:pos="8000"/>
        </w:tabs>
        <w:spacing w:after="60" w:before="60"/>
      </w:pPr>
      <w:r>
        <w:rPr>
          <w:rFonts w:ascii="Arial" w:cs="Arial" w:eastAsia="Arial" w:hAnsi="Arial"/>
          <w:sz w:val="22"/>
          <w:szCs w:val="22"/>
        </w:rPr>
        <w:t xml:space="preserve">   6.5 RQ5: Metric Correlation</w:t>
      </w:r>
      <w:r>
        <w:rPr>
          <w:rFonts w:ascii="Arial" w:cs="Arial" w:eastAsia="Arial" w:hAnsi="Arial"/>
          <w:sz w:val="22"/>
          <w:szCs w:val="22"/>
        </w:rPr>
        <w:t xml:space="preserve">	24</w:t>
      </w:r>
    </w:p>
    <w:p>
      <w:pPr>
        <w:tabs>
          <w:tab w:val="right" w:pos="8000"/>
        </w:tabs>
        <w:spacing w:after="60" w:before="60"/>
      </w:pPr>
      <w:r>
        <w:rPr>
          <w:rFonts w:ascii="Arial" w:cs="Arial" w:eastAsia="Arial" w:hAnsi="Arial"/>
          <w:sz w:val="22"/>
          <w:szCs w:val="22"/>
        </w:rPr>
        <w:t xml:space="preserve">   6.6 RQ6: Scalability and Latency</w:t>
      </w:r>
      <w:r>
        <w:rPr>
          <w:rFonts w:ascii="Arial" w:cs="Arial" w:eastAsia="Arial" w:hAnsi="Arial"/>
          <w:sz w:val="22"/>
          <w:szCs w:val="22"/>
        </w:rPr>
        <w:t xml:space="preserve">	24</w:t>
      </w:r>
    </w:p>
    <w:p>
      <w:pPr>
        <w:tabs>
          <w:tab w:val="right" w:pos="8000"/>
        </w:tabs>
        <w:spacing w:after="60" w:before="60"/>
      </w:pPr>
      <w:r>
        <w:rPr>
          <w:rFonts w:ascii="Arial" w:cs="Arial" w:eastAsia="Arial" w:hAnsi="Arial"/>
          <w:sz w:val="22"/>
          <w:szCs w:val="22"/>
        </w:rPr>
        <w:t xml:space="preserve">   6.7 RQ7: Ablation Study</w:t>
      </w:r>
      <w:r>
        <w:rPr>
          <w:rFonts w:ascii="Arial" w:cs="Arial" w:eastAsia="Arial" w:hAnsi="Arial"/>
          <w:sz w:val="22"/>
          <w:szCs w:val="22"/>
        </w:rPr>
        <w:t xml:space="preserve">	25</w:t>
      </w:r>
    </w:p>
    <w:p>
      <w:pPr>
        <w:tabs>
          <w:tab w:val="right" w:pos="8000"/>
        </w:tabs>
        <w:spacing w:after="60" w:before="60"/>
      </w:pPr>
      <w:r>
        <w:rPr>
          <w:rFonts w:ascii="Arial" w:cs="Arial" w:eastAsia="Arial" w:hAnsi="Arial"/>
          <w:sz w:val="22"/>
          <w:szCs w:val="22"/>
        </w:rPr>
        <w:t xml:space="preserve">   6.8 Human Evaluation</w:t>
      </w:r>
      <w:r>
        <w:rPr>
          <w:rFonts w:ascii="Arial" w:cs="Arial" w:eastAsia="Arial" w:hAnsi="Arial"/>
          <w:sz w:val="22"/>
          <w:szCs w:val="22"/>
        </w:rPr>
        <w:t xml:space="preserve">	25</w:t>
      </w:r>
    </w:p>
    <w:p>
      <w:pPr>
        <w:tabs>
          <w:tab w:val="right" w:pos="8000"/>
        </w:tabs>
        <w:spacing w:after="60" w:before="60"/>
      </w:pPr>
      <w:r>
        <w:rPr>
          <w:rFonts w:ascii="Arial" w:cs="Arial" w:eastAsia="Arial" w:hAnsi="Arial"/>
          <w:sz w:val="22"/>
          <w:szCs w:val="22"/>
        </w:rPr>
        <w:t xml:space="preserve">7. Conclusion</w:t>
      </w:r>
      <w:r>
        <w:rPr>
          <w:rFonts w:ascii="Arial" w:cs="Arial" w:eastAsia="Arial" w:hAnsi="Arial"/>
          <w:sz w:val="22"/>
          <w:szCs w:val="22"/>
        </w:rPr>
        <w:t xml:space="preserve">	26</w:t>
      </w:r>
    </w:p>
    <w:p>
      <w:pPr>
        <w:tabs>
          <w:tab w:val="right" w:pos="8000"/>
        </w:tabs>
        <w:spacing w:after="60" w:before="60"/>
      </w:pPr>
      <w:r>
        <w:rPr>
          <w:rFonts w:ascii="Arial" w:cs="Arial" w:eastAsia="Arial" w:hAnsi="Arial"/>
          <w:sz w:val="22"/>
          <w:szCs w:val="22"/>
        </w:rPr>
        <w:t xml:space="preserve">   7.1 Summary of Findings</w:t>
      </w:r>
      <w:r>
        <w:rPr>
          <w:rFonts w:ascii="Arial" w:cs="Arial" w:eastAsia="Arial" w:hAnsi="Arial"/>
          <w:sz w:val="22"/>
          <w:szCs w:val="22"/>
        </w:rPr>
        <w:t xml:space="preserve">	26</w:t>
      </w:r>
    </w:p>
    <w:p>
      <w:pPr>
        <w:tabs>
          <w:tab w:val="right" w:pos="8000"/>
        </w:tabs>
        <w:spacing w:after="60" w:before="60"/>
      </w:pPr>
      <w:r>
        <w:rPr>
          <w:rFonts w:ascii="Arial" w:cs="Arial" w:eastAsia="Arial" w:hAnsi="Arial"/>
          <w:sz w:val="22"/>
          <w:szCs w:val="22"/>
        </w:rPr>
        <w:t xml:space="preserve">   7.2 Limitations</w:t>
      </w:r>
      <w:r>
        <w:rPr>
          <w:rFonts w:ascii="Arial" w:cs="Arial" w:eastAsia="Arial" w:hAnsi="Arial"/>
          <w:sz w:val="22"/>
          <w:szCs w:val="22"/>
        </w:rPr>
        <w:t xml:space="preserve">	27</w:t>
      </w:r>
    </w:p>
    <w:p>
      <w:pPr>
        <w:tabs>
          <w:tab w:val="right" w:pos="8000"/>
        </w:tabs>
        <w:spacing w:after="60" w:before="60"/>
      </w:pPr>
      <w:r>
        <w:rPr>
          <w:rFonts w:ascii="Arial" w:cs="Arial" w:eastAsia="Arial" w:hAnsi="Arial"/>
          <w:sz w:val="22"/>
          <w:szCs w:val="22"/>
        </w:rPr>
        <w:t xml:space="preserve">   7.3 Future Work</w:t>
      </w:r>
      <w:r>
        <w:rPr>
          <w:rFonts w:ascii="Arial" w:cs="Arial" w:eastAsia="Arial" w:hAnsi="Arial"/>
          <w:sz w:val="22"/>
          <w:szCs w:val="22"/>
        </w:rPr>
        <w:t xml:space="preserve">	27</w:t>
      </w:r>
    </w:p>
    <w:p>
      <w:pPr>
        <w:tabs>
          <w:tab w:val="right" w:pos="8000"/>
        </w:tabs>
        <w:spacing w:after="60" w:before="60"/>
      </w:pPr>
      <w:r>
        <w:rPr>
          <w:rFonts w:ascii="Arial" w:cs="Arial" w:eastAsia="Arial" w:hAnsi="Arial"/>
          <w:sz w:val="22"/>
          <w:szCs w:val="22"/>
        </w:rPr>
        <w:t xml:space="preserve">References</w:t>
      </w:r>
      <w:r>
        <w:rPr>
          <w:rFonts w:ascii="Arial" w:cs="Arial" w:eastAsia="Arial" w:hAnsi="Arial"/>
          <w:sz w:val="22"/>
          <w:szCs w:val="22"/>
        </w:rPr>
        <w:t xml:space="preserve">	28</w:t>
      </w:r>
    </w:p>
    <w:p>
      <w:r>
        <w:br w:type="page"/>
      </w:r>
    </w:p>
    <w:p>
      <w:pPr>
        <w:pStyle w:val="Heading1"/>
        <w:spacing w:after="240" w:before="480"/>
      </w:pPr>
      <w:r>
        <w:rPr>
          <w:rFonts w:ascii="Arial" w:cs="Arial" w:eastAsia="Arial" w:hAnsi="Arial"/>
          <w:b/>
          <w:bCs/>
          <w:color w:val="1F3864"/>
          <w:sz w:val="32"/>
          <w:szCs w:val="32"/>
        </w:rPr>
        <w:t xml:space="preserve">Chapter 1: Introduction</w:t>
      </w:r>
    </w:p>
    <w:p>
      <w:pPr>
        <w:pStyle w:val="Heading2"/>
        <w:spacing w:after="180" w:before="360"/>
      </w:pPr>
      <w:r>
        <w:rPr>
          <w:rFonts w:ascii="Arial" w:cs="Arial" w:eastAsia="Arial" w:hAnsi="Arial"/>
          <w:b/>
          <w:bCs/>
          <w:color w:val="2E75B6"/>
          <w:sz w:val="28"/>
          <w:szCs w:val="28"/>
        </w:rPr>
        <w:t xml:space="preserve">1.1 Background and Motivation</w:t>
      </w:r>
    </w:p>
    <w:p>
      <w:pPr>
        <w:spacing w:after="120" w:before="120" w:line="360"/>
        <w:jc w:val="both"/>
      </w:pPr>
      <w:r>
        <w:rPr>
          <w:rFonts w:ascii="Arial" w:cs="Arial" w:eastAsia="Arial" w:hAnsi="Arial"/>
          <w:sz w:val="24"/>
          <w:szCs w:val="24"/>
        </w:rPr>
        <w:t xml:space="preserve">The exponential growth of digital communication has fundamentally transformed customer service operations across industries. Modern enterprises receive thousands of support emails daily, each requiring accurate classification, contextual understanding, and timely responses. Traditional rule-based systems and human-operated support centres struggle to scale efficiently under this demand, leading to delayed response times, inconsistent quality, and significant operational costs.</w:t>
      </w:r>
    </w:p>
    <w:p>
      <w:pPr>
        <w:spacing w:after="120" w:before="120" w:line="360"/>
        <w:jc w:val="both"/>
      </w:pPr>
      <w:r>
        <w:rPr>
          <w:rFonts w:ascii="Arial" w:cs="Arial" w:eastAsia="Arial" w:hAnsi="Arial"/>
          <w:sz w:val="24"/>
          <w:szCs w:val="24"/>
        </w:rPr>
        <w:t xml:space="preserve">Recent advances in Large Language Models (LLMs) and Retrieval-Augmented Generation (RAG) architectures offer a compelling solution. LLMs such as Mistral-7B-Instruct demonstrate strong capabilities in natural language understanding, intent recognition, and coherent text generation. When augmented with domain-specific knowledge bases through RAG, these models generate accurate, contextually grounded responses aligned with organisational procedures. LangGraph, a framework for building stateful multi-actor LLM applications, enables principled orchestration of complex agent workflows as directed state graphs, providing modularity, interpretability, and controllability.</w:t>
      </w:r>
    </w:p>
    <w:p>
      <w:pPr>
        <w:pStyle w:val="Heading2"/>
        <w:spacing w:after="180" w:before="360"/>
      </w:pPr>
      <w:r>
        <w:rPr>
          <w:rFonts w:ascii="Arial" w:cs="Arial" w:eastAsia="Arial" w:hAnsi="Arial"/>
          <w:b/>
          <w:bCs/>
          <w:color w:val="2E75B6"/>
          <w:sz w:val="28"/>
          <w:szCs w:val="28"/>
        </w:rPr>
        <w:t xml:space="preserve">1.2 Problem Statement</w:t>
      </w:r>
    </w:p>
    <w:p>
      <w:pPr>
        <w:spacing w:after="120" w:before="120" w:line="360"/>
        <w:jc w:val="both"/>
      </w:pPr>
      <w:r>
        <w:rPr>
          <w:rFonts w:ascii="Arial" w:cs="Arial" w:eastAsia="Arial" w:hAnsi="Arial"/>
          <w:sz w:val="24"/>
          <w:szCs w:val="24"/>
        </w:rPr>
        <w:t xml:space="preserve">Despite the promise of LLM-based automation, several challenges remain in customer support email processing. First, accurately classifying customer intent across diverse, noisy social media text requires robust classification that generalises beyond keyword matching. Second, generating responses that are both fluent and factually grounded demands careful integration of retrieval mechanisms with generation models. Third, determining when AI responses are sufficiently confident to send autonomously versus requiring human review necessitates principled escalation strategies. This thesis addresses these challenges through a unified LangGraph-RAG agent framework evaluated on the Twitter Customer Support dataset.</w:t>
      </w:r>
    </w:p>
    <w:p>
      <w:pPr>
        <w:pStyle w:val="Heading2"/>
        <w:spacing w:after="180" w:before="360"/>
      </w:pPr>
      <w:r>
        <w:rPr>
          <w:rFonts w:ascii="Arial" w:cs="Arial" w:eastAsia="Arial" w:hAnsi="Arial"/>
          <w:b/>
          <w:bCs/>
          <w:color w:val="2E75B6"/>
          <w:sz w:val="28"/>
          <w:szCs w:val="28"/>
        </w:rPr>
        <w:t xml:space="preserve">1.3 Research Questions</w:t>
      </w:r>
    </w:p>
    <w:p>
      <w:pPr>
        <w:spacing w:after="120" w:before="120" w:line="360"/>
        <w:jc w:val="both"/>
      </w:pPr>
      <w:r>
        <w:rPr>
          <w:rFonts w:ascii="Arial" w:cs="Arial" w:eastAsia="Arial" w:hAnsi="Arial"/>
          <w:sz w:val="24"/>
          <w:szCs w:val="24"/>
        </w:rPr>
        <w:t xml:space="preserve">This thesis investigates seven primary research questions:</w:t>
      </w:r>
    </w:p>
    <w:p>
      <w:pPr>
        <w:pStyle w:val="ListParagraph"/>
        <w:numPr>
          <w:ilvl w:val="0"/>
          <w:numId w:val="2"/>
        </w:numPr>
        <w:spacing w:after="60" w:before="60"/>
      </w:pPr>
      <w:r>
        <w:rPr>
          <w:rFonts w:ascii="Arial" w:cs="Arial" w:eastAsia="Arial" w:hAnsi="Arial"/>
          <w:sz w:val="24"/>
          <w:szCs w:val="24"/>
        </w:rPr>
        <w:t xml:space="preserve">RQ1: How does the proposed LangGraph-RAG architecture compare to baseline systems in intent classification accuracy and response quality?</w:t>
      </w:r>
    </w:p>
    <w:p>
      <w:pPr>
        <w:pStyle w:val="ListParagraph"/>
        <w:numPr>
          <w:ilvl w:val="0"/>
          <w:numId w:val="2"/>
        </w:numPr>
        <w:spacing w:after="60" w:before="60"/>
      </w:pPr>
      <w:r>
        <w:rPr>
          <w:rFonts w:ascii="Arial" w:cs="Arial" w:eastAsia="Arial" w:hAnsi="Arial"/>
          <w:sz w:val="24"/>
          <w:szCs w:val="24"/>
        </w:rPr>
        <w:t xml:space="preserve">RQ2: What RAG configuration (vector store, chunk size, top-k) maximises response faithfulness and minimises hallucination?</w:t>
      </w:r>
    </w:p>
    <w:p>
      <w:pPr>
        <w:pStyle w:val="ListParagraph"/>
        <w:numPr>
          <w:ilvl w:val="0"/>
          <w:numId w:val="2"/>
        </w:numPr>
        <w:spacing w:after="60" w:before="60"/>
      </w:pPr>
      <w:r>
        <w:rPr>
          <w:rFonts w:ascii="Arial" w:cs="Arial" w:eastAsia="Arial" w:hAnsi="Arial"/>
          <w:sz w:val="24"/>
          <w:szCs w:val="24"/>
        </w:rPr>
        <w:t xml:space="preserve">RQ3: How does confidence-aware escalation compare to static threshold escalation?</w:t>
      </w:r>
    </w:p>
    <w:p>
      <w:pPr>
        <w:pStyle w:val="ListParagraph"/>
        <w:numPr>
          <w:ilvl w:val="0"/>
          <w:numId w:val="2"/>
        </w:numPr>
        <w:spacing w:after="60" w:before="60"/>
      </w:pPr>
      <w:r>
        <w:rPr>
          <w:rFonts w:ascii="Arial" w:cs="Arial" w:eastAsia="Arial" w:hAnsi="Arial"/>
          <w:sz w:val="24"/>
          <w:szCs w:val="24"/>
        </w:rPr>
        <w:t xml:space="preserve">RQ4: How robust is the intent classification component to noisy and ambiguous inputs?</w:t>
      </w:r>
    </w:p>
    <w:p>
      <w:pPr>
        <w:pStyle w:val="ListParagraph"/>
        <w:numPr>
          <w:ilvl w:val="0"/>
          <w:numId w:val="2"/>
        </w:numPr>
        <w:spacing w:after="60" w:before="60"/>
      </w:pPr>
      <w:r>
        <w:rPr>
          <w:rFonts w:ascii="Arial" w:cs="Arial" w:eastAsia="Arial" w:hAnsi="Arial"/>
          <w:sz w:val="24"/>
          <w:szCs w:val="24"/>
        </w:rPr>
        <w:t xml:space="preserve">RQ5: How well do automated evaluation metrics correlate with human quality judgements?</w:t>
      </w:r>
    </w:p>
    <w:p>
      <w:pPr>
        <w:pStyle w:val="ListParagraph"/>
        <w:numPr>
          <w:ilvl w:val="0"/>
          <w:numId w:val="2"/>
        </w:numPr>
        <w:spacing w:after="60" w:before="60"/>
      </w:pPr>
      <w:r>
        <w:rPr>
          <w:rFonts w:ascii="Arial" w:cs="Arial" w:eastAsia="Arial" w:hAnsi="Arial"/>
          <w:sz w:val="24"/>
          <w:szCs w:val="24"/>
        </w:rPr>
        <w:t xml:space="preserve">RQ6: What are the scalability and latency characteristics under varying concurrent load?</w:t>
      </w:r>
    </w:p>
    <w:p>
      <w:pPr>
        <w:pStyle w:val="ListParagraph"/>
        <w:numPr>
          <w:ilvl w:val="0"/>
          <w:numId w:val="2"/>
        </w:numPr>
        <w:spacing w:after="60" w:before="60"/>
      </w:pPr>
      <w:r>
        <w:rPr>
          <w:rFonts w:ascii="Arial" w:cs="Arial" w:eastAsia="Arial" w:hAnsi="Arial"/>
          <w:sz w:val="24"/>
          <w:szCs w:val="24"/>
        </w:rPr>
        <w:t xml:space="preserve">RQ7: What is the contribution of each pipeline component to overall performance?</w:t>
      </w:r>
    </w:p>
    <w:p>
      <w:pPr>
        <w:pStyle w:val="Heading2"/>
        <w:spacing w:after="180" w:before="360"/>
      </w:pPr>
      <w:r>
        <w:rPr>
          <w:rFonts w:ascii="Arial" w:cs="Arial" w:eastAsia="Arial" w:hAnsi="Arial"/>
          <w:b/>
          <w:bCs/>
          <w:color w:val="2E75B6"/>
          <w:sz w:val="28"/>
          <w:szCs w:val="28"/>
        </w:rPr>
        <w:t xml:space="preserve">1.4 Contributions</w:t>
      </w:r>
    </w:p>
    <w:p>
      <w:pPr>
        <w:spacing w:after="120" w:before="120" w:line="360"/>
        <w:jc w:val="both"/>
      </w:pPr>
      <w:r>
        <w:rPr>
          <w:rFonts w:ascii="Arial" w:cs="Arial" w:eastAsia="Arial" w:hAnsi="Arial"/>
          <w:sz w:val="24"/>
          <w:szCs w:val="24"/>
        </w:rPr>
        <w:t xml:space="preserve">The primary contributions of this thesis are:</w:t>
      </w:r>
    </w:p>
    <w:p>
      <w:pPr>
        <w:pStyle w:val="ListParagraph"/>
        <w:numPr>
          <w:ilvl w:val="0"/>
          <w:numId w:val="3"/>
        </w:numPr>
        <w:spacing w:after="60" w:before="60"/>
      </w:pPr>
      <w:r>
        <w:rPr>
          <w:rFonts w:ascii="Arial" w:cs="Arial" w:eastAsia="Arial" w:hAnsi="Arial"/>
          <w:sz w:val="24"/>
          <w:szCs w:val="24"/>
        </w:rPr>
        <w:t xml:space="preserve">A novel LangGraph-based email processing pipeline integrating intent classification, FAISS RAG retrieval, Mistral-7B response generation, and confidence-aware escalation.</w:t>
      </w:r>
    </w:p>
    <w:p>
      <w:pPr>
        <w:pStyle w:val="ListParagraph"/>
        <w:numPr>
          <w:ilvl w:val="0"/>
          <w:numId w:val="3"/>
        </w:numPr>
        <w:spacing w:after="60" w:before="60"/>
      </w:pPr>
      <w:r>
        <w:rPr>
          <w:rFonts w:ascii="Arial" w:cs="Arial" w:eastAsia="Arial" w:hAnsi="Arial"/>
          <w:sz w:val="24"/>
          <w:szCs w:val="24"/>
        </w:rPr>
        <w:t xml:space="preserve">Empirical evaluation on the Twitter Customer Support dataset (n=1,200) addressing seven research questions.</w:t>
      </w:r>
    </w:p>
    <w:p>
      <w:pPr>
        <w:pStyle w:val="ListParagraph"/>
        <w:numPr>
          <w:ilvl w:val="0"/>
          <w:numId w:val="3"/>
        </w:numPr>
        <w:spacing w:after="60" w:before="60"/>
      </w:pPr>
      <w:r>
        <w:rPr>
          <w:rFonts w:ascii="Arial" w:cs="Arial" w:eastAsia="Arial" w:hAnsi="Arial"/>
          <w:sz w:val="24"/>
          <w:szCs w:val="24"/>
        </w:rPr>
        <w:t xml:space="preserve">Human annotation study (n=30 responses, 3 independent annotators) with five quality dimensions.</w:t>
      </w:r>
    </w:p>
    <w:p>
      <w:pPr>
        <w:pStyle w:val="ListParagraph"/>
        <w:numPr>
          <w:ilvl w:val="0"/>
          <w:numId w:val="3"/>
        </w:numPr>
        <w:spacing w:after="60" w:before="60"/>
      </w:pPr>
      <w:r>
        <w:rPr>
          <w:rFonts w:ascii="Arial" w:cs="Arial" w:eastAsia="Arial" w:hAnsi="Arial"/>
          <w:sz w:val="24"/>
          <w:szCs w:val="24"/>
        </w:rPr>
        <w:t xml:space="preserve">Ablation analysis quantifying the contribution of each pipeline component.</w:t>
      </w:r>
    </w:p>
    <w:p>
      <w:pPr>
        <w:pStyle w:val="ListParagraph"/>
        <w:numPr>
          <w:ilvl w:val="0"/>
          <w:numId w:val="3"/>
        </w:numPr>
        <w:spacing w:after="60" w:before="60"/>
      </w:pPr>
      <w:r>
        <w:rPr>
          <w:rFonts w:ascii="Arial" w:cs="Arial" w:eastAsia="Arial" w:hAnsi="Arial"/>
          <w:sz w:val="24"/>
          <w:szCs w:val="24"/>
        </w:rPr>
        <w:t xml:space="preserve">Open-source implementation at github.com/suhasvenkat/Support_Mail_Agent.</w:t>
      </w:r>
    </w:p>
    <w:p>
      <w:pPr>
        <w:pStyle w:val="Heading2"/>
        <w:spacing w:after="180" w:before="360"/>
      </w:pPr>
      <w:r>
        <w:rPr>
          <w:rFonts w:ascii="Arial" w:cs="Arial" w:eastAsia="Arial" w:hAnsi="Arial"/>
          <w:b/>
          <w:bCs/>
          <w:color w:val="2E75B6"/>
          <w:sz w:val="28"/>
          <w:szCs w:val="28"/>
        </w:rPr>
        <w:t xml:space="preserve">1.5 Thesis Structure</w:t>
      </w:r>
    </w:p>
    <w:p>
      <w:pPr>
        <w:spacing w:after="120" w:before="120" w:line="360"/>
        <w:jc w:val="both"/>
      </w:pPr>
      <w:r>
        <w:rPr>
          <w:rFonts w:ascii="Arial" w:cs="Arial" w:eastAsia="Arial" w:hAnsi="Arial"/>
          <w:sz w:val="24"/>
          <w:szCs w:val="24"/>
        </w:rPr>
        <w:t xml:space="preserve">Chapter 2 reviews related work. Chapter 3 presents the methodology. Chapter 4 details the implementation. Chapter 5 describes the experimental setup. Chapter 6 presents and discusses results. Chapter 7 concludes with limitations and future work.</w:t>
      </w:r>
    </w:p>
    <w:p>
      <w:r>
        <w:br w:type="page"/>
      </w:r>
    </w:p>
    <w:p>
      <w:pPr>
        <w:pStyle w:val="Heading1"/>
        <w:spacing w:after="240" w:before="480"/>
      </w:pPr>
      <w:r>
        <w:rPr>
          <w:rFonts w:ascii="Arial" w:cs="Arial" w:eastAsia="Arial" w:hAnsi="Arial"/>
          <w:b/>
          <w:bCs/>
          <w:color w:val="1F3864"/>
          <w:sz w:val="32"/>
          <w:szCs w:val="32"/>
        </w:rPr>
        <w:t xml:space="preserve">Chapter 2: Literature Review</w:t>
      </w:r>
    </w:p>
    <w:p>
      <w:pPr>
        <w:pStyle w:val="Heading2"/>
        <w:spacing w:after="180" w:before="360"/>
      </w:pPr>
      <w:r>
        <w:rPr>
          <w:rFonts w:ascii="Arial" w:cs="Arial" w:eastAsia="Arial" w:hAnsi="Arial"/>
          <w:b/>
          <w:bCs/>
          <w:color w:val="2E75B6"/>
          <w:sz w:val="28"/>
          <w:szCs w:val="28"/>
        </w:rPr>
        <w:t xml:space="preserve">2.1 Large Language Models in Natural Language Processing</w:t>
      </w:r>
    </w:p>
    <w:p>
      <w:pPr>
        <w:spacing w:after="120" w:before="120" w:line="360"/>
        <w:jc w:val="both"/>
      </w:pPr>
      <w:r>
        <w:rPr>
          <w:rFonts w:ascii="Arial" w:cs="Arial" w:eastAsia="Arial" w:hAnsi="Arial"/>
          <w:sz w:val="24"/>
          <w:szCs w:val="24"/>
        </w:rPr>
        <w:t xml:space="preserve">The transformer architecture introduced by Vaswani et al. (2017) forms the foundation of modern LLMs. BERT (Devlin et al., 2019) demonstrated that bidirectional pre-training followed by fine-tuning achieves strong performance across diverse NLP tasks. Autoregressive models from GPT (Radford et al., 2018) through GPT-4 (OpenAI, 2023) demonstrated few-shot learning capabilities enabling task completion without task-specific fine-tuning. Instruction tuning (Wei et al., 2022) further improved instruction-following behaviour. Open-source models including Mistral-7B (Jiang et al., 2023) achieve performance competitive with larger models while remaining deployable on consumer hardware. This thesis employs Mistral-7B-Instruct via Ollama for all generation experiments, enabling reproducible open-source research.</w:t>
      </w:r>
    </w:p>
    <w:p>
      <w:pPr>
        <w:pStyle w:val="Heading2"/>
        <w:spacing w:after="180" w:before="360"/>
      </w:pPr>
      <w:r>
        <w:rPr>
          <w:rFonts w:ascii="Arial" w:cs="Arial" w:eastAsia="Arial" w:hAnsi="Arial"/>
          <w:b/>
          <w:bCs/>
          <w:color w:val="2E75B6"/>
          <w:sz w:val="28"/>
          <w:szCs w:val="28"/>
        </w:rPr>
        <w:t xml:space="preserve">2.2 Retrieval-Augmented Generation</w:t>
      </w:r>
    </w:p>
    <w:p>
      <w:pPr>
        <w:spacing w:after="120" w:before="120" w:line="360"/>
        <w:jc w:val="both"/>
      </w:pPr>
      <w:r>
        <w:rPr>
          <w:rFonts w:ascii="Arial" w:cs="Arial" w:eastAsia="Arial" w:hAnsi="Arial"/>
          <w:sz w:val="24"/>
          <w:szCs w:val="24"/>
        </w:rPr>
        <w:t xml:space="preserve">Retrieval-Augmented Generation (Lewis et al., 2020) addresses the inability of parametric LLMs to access knowledge beyond training data by combining non-parametric retrieval with parametric generation. Dense vector retrieval using bi-encoder models embeds queries and documents into shared semantic spaces. FAISS (Johnson et al., 2019) provides efficient approximate nearest-neighbour search over large document collections. Recent extensions include advanced chunking strategies and reranking mechanisms. The RAGAS framework (Es et al., 2023) provides automated evaluation of RAG systems across faithfulness, answer relevancy, and context precision dimensions, informing the evaluation protocol adopted in this thesis.</w:t>
      </w:r>
    </w:p>
    <w:p>
      <w:pPr>
        <w:pStyle w:val="Heading2"/>
        <w:spacing w:after="180" w:before="360"/>
      </w:pPr>
      <w:r>
        <w:rPr>
          <w:rFonts w:ascii="Arial" w:cs="Arial" w:eastAsia="Arial" w:hAnsi="Arial"/>
          <w:b/>
          <w:bCs/>
          <w:color w:val="2E75B6"/>
          <w:sz w:val="28"/>
          <w:szCs w:val="28"/>
        </w:rPr>
        <w:t xml:space="preserve">2.3 Customer Support Automation</w:t>
      </w:r>
    </w:p>
    <w:p>
      <w:pPr>
        <w:spacing w:after="120" w:before="120" w:line="360"/>
        <w:jc w:val="both"/>
      </w:pPr>
      <w:r>
        <w:rPr>
          <w:rFonts w:ascii="Arial" w:cs="Arial" w:eastAsia="Arial" w:hAnsi="Arial"/>
          <w:sz w:val="24"/>
          <w:szCs w:val="24"/>
        </w:rPr>
        <w:t xml:space="preserve">Automated customer support has evolved from rule-based chatbots to neural dialogue systems. Email-specific automation presents unique challenges: longer, more complex text with diverse linguistic styles. The Twitter Customer Support dataset (Kaggle, 2017) comprising over three million tweets between customers and support agents has become a benchmark for support automation evaluation, capturing realistic complaint patterns across domains. Prior work demonstrates that pre-trained language models substantially outperform traditional machine learning for intent classification (Xu et al., 2021) and that RAG augmentation reduces hallucination in support response generation (Liu et al., 2022). However, systematic evaluation combining RAG, LLM generation, and confidence-aware escalation in a unified framework has not been previously reported.</w:t>
      </w:r>
    </w:p>
    <w:p>
      <w:pPr>
        <w:pStyle w:val="Heading2"/>
        <w:spacing w:after="180" w:before="360"/>
      </w:pPr>
      <w:r>
        <w:rPr>
          <w:rFonts w:ascii="Arial" w:cs="Arial" w:eastAsia="Arial" w:hAnsi="Arial"/>
          <w:b/>
          <w:bCs/>
          <w:color w:val="2E75B6"/>
          <w:sz w:val="28"/>
          <w:szCs w:val="28"/>
        </w:rPr>
        <w:t xml:space="preserve">2.4 LLM Agent Frameworks</w:t>
      </w:r>
    </w:p>
    <w:p>
      <w:pPr>
        <w:spacing w:after="120" w:before="120" w:line="360"/>
        <w:jc w:val="both"/>
      </w:pPr>
      <w:r>
        <w:rPr>
          <w:rFonts w:ascii="Arial" w:cs="Arial" w:eastAsia="Arial" w:hAnsi="Arial"/>
          <w:sz w:val="24"/>
          <w:szCs w:val="24"/>
        </w:rPr>
        <w:t xml:space="preserve">LLM agents (Yao et al., 2022) use language models to reason and take actions in service of a goal. LangChain (Chase, 2022) provides abstractions for building LLM-powered pipelines. LangGraph extends LangChain with stateful, multi-actor agent systems as directed graphs, enabling conditional branching, cycles, and parallel execution. The framework represents state as typed dictionaries flowing through graph nodes, making it well-suited for email processing pipelines where different intents may require different processing paths. This thesis selects LangGraph for its explicit state management, strong Pydantic typing, and native LangChain integration.</w:t>
      </w:r>
    </w:p>
    <w:p>
      <w:pPr>
        <w:pStyle w:val="Heading2"/>
        <w:spacing w:after="180" w:before="360"/>
      </w:pPr>
      <w:r>
        <w:rPr>
          <w:rFonts w:ascii="Arial" w:cs="Arial" w:eastAsia="Arial" w:hAnsi="Arial"/>
          <w:b/>
          <w:bCs/>
          <w:color w:val="2E75B6"/>
          <w:sz w:val="28"/>
          <w:szCs w:val="28"/>
        </w:rPr>
        <w:t xml:space="preserve">2.5 Evaluation Metrics for Text Generation</w:t>
      </w:r>
    </w:p>
    <w:p>
      <w:pPr>
        <w:spacing w:after="120" w:before="120" w:line="360"/>
        <w:jc w:val="both"/>
      </w:pPr>
      <w:r>
        <w:rPr>
          <w:rFonts w:ascii="Arial" w:cs="Arial" w:eastAsia="Arial" w:hAnsi="Arial"/>
          <w:sz w:val="24"/>
          <w:szCs w:val="24"/>
        </w:rPr>
        <w:t xml:space="preserve">BLEU (Papineni et al., 2002) measures n-gram precision between generated and reference text; ROUGE (Lin, 2004) measures recall-oriented n-gram overlap. Both metrics have been criticised for poor correlation with human judgements in open-ended generation. BERTScore (Zhang et al., 2020) computes token-level semantic similarity using contextual embeddings, demonstrating higher correlation with human judgements. Human evaluation with multi-dimensional rating schemes and inter-rater agreement measurement (Cohen's kappa) remains the gold standard. This thesis employs all four approaches to provide comprehensive response quality assessment.</w:t>
      </w:r>
    </w:p>
    <w:p>
      <w:r>
        <w:br w:type="page"/>
      </w:r>
    </w:p>
    <w:p>
      <w:pPr>
        <w:pStyle w:val="Heading1"/>
        <w:spacing w:after="240" w:before="480"/>
      </w:pPr>
      <w:r>
        <w:rPr>
          <w:rFonts w:ascii="Arial" w:cs="Arial" w:eastAsia="Arial" w:hAnsi="Arial"/>
          <w:b/>
          <w:bCs/>
          <w:color w:val="1F3864"/>
          <w:sz w:val="32"/>
          <w:szCs w:val="32"/>
        </w:rPr>
        <w:t xml:space="preserve">Chapter 3: Methodology</w:t>
      </w:r>
    </w:p>
    <w:p>
      <w:pPr>
        <w:pStyle w:val="Heading2"/>
        <w:spacing w:after="180" w:before="360"/>
      </w:pPr>
      <w:r>
        <w:rPr>
          <w:rFonts w:ascii="Arial" w:cs="Arial" w:eastAsia="Arial" w:hAnsi="Arial"/>
          <w:b/>
          <w:bCs/>
          <w:color w:val="2E75B6"/>
          <w:sz w:val="28"/>
          <w:szCs w:val="28"/>
        </w:rPr>
        <w:t xml:space="preserve">3.1 System Architecture Overview</w:t>
      </w:r>
    </w:p>
    <w:p>
      <w:pPr>
        <w:spacing w:after="120" w:before="120" w:line="360"/>
        <w:jc w:val="both"/>
      </w:pPr>
      <w:r>
        <w:rPr>
          <w:rFonts w:ascii="Arial" w:cs="Arial" w:eastAsia="Arial" w:hAnsi="Arial"/>
          <w:sz w:val="24"/>
          <w:szCs w:val="24"/>
        </w:rPr>
        <w:t xml:space="preserve">The proposed system implements an intelligent email triage and automated response generation pipeline as a LangGraph StateGraph. The pipeline processes incoming emails through five sequential nodes: intent classification, knowledge base retrieval, response drafting, escalation decision, and follow-up scheduling. Each node reads from and writes to a shared AgentState TypedDict capturing email_id, sender, subject, body, intent, kb_results, draft_response, confidence, should_escalate, final_response, email_sent, and followup_scheduled. The system is exposed via a RESTful FastAPI interface accepting email input and returning structured output including the generated response and escalation status.</w:t>
      </w:r>
    </w:p>
    <w:p>
      <w:pPr>
        <w:pStyle w:val="Heading2"/>
        <w:spacing w:after="180" w:before="360"/>
      </w:pPr>
      <w:r>
        <w:rPr>
          <w:rFonts w:ascii="Arial" w:cs="Arial" w:eastAsia="Arial" w:hAnsi="Arial"/>
          <w:b/>
          <w:bCs/>
          <w:color w:val="2E75B6"/>
          <w:sz w:val="28"/>
          <w:szCs w:val="28"/>
        </w:rPr>
        <w:t xml:space="preserve">3.2 LangGraph Pipeline Design</w:t>
      </w:r>
    </w:p>
    <w:p>
      <w:pPr>
        <w:spacing w:after="120" w:before="120" w:line="360"/>
        <w:jc w:val="both"/>
      </w:pPr>
      <w:r>
        <w:rPr>
          <w:rFonts w:ascii="Arial" w:cs="Arial" w:eastAsia="Arial" w:hAnsi="Arial"/>
          <w:sz w:val="24"/>
          <w:szCs w:val="24"/>
        </w:rPr>
        <w:t xml:space="preserve">The workflow is a directed acyclic graph with five nodes connected by sequential edges: classifier → kb_retriever → responder → escalator → followup → END. This linear topology ensures consistent processing of all emails regardless of intent, enabling uniform evaluation across the test set. The pipeline compiles to a LangGraph CompiledGraph managing state transitions with node-level exception handling ensuring graceful degradation to sensible defaults on failure.</w:t>
      </w:r>
    </w:p>
    <w:p>
      <w:pPr>
        <w:pStyle w:val="Heading2"/>
        <w:spacing w:after="180" w:before="360"/>
      </w:pPr>
      <w:r>
        <w:rPr>
          <w:rFonts w:ascii="Arial" w:cs="Arial" w:eastAsia="Arial" w:hAnsi="Arial"/>
          <w:b/>
          <w:bCs/>
          <w:color w:val="2E75B6"/>
          <w:sz w:val="28"/>
          <w:szCs w:val="28"/>
        </w:rPr>
        <w:t xml:space="preserve">3.3 Intent Classification</w:t>
      </w:r>
    </w:p>
    <w:p>
      <w:pPr>
        <w:spacing w:after="120" w:before="120" w:line="360"/>
        <w:jc w:val="both"/>
      </w:pPr>
      <w:r>
        <w:rPr>
          <w:rFonts w:ascii="Arial" w:cs="Arial" w:eastAsia="Arial" w:hAnsi="Arial"/>
          <w:sz w:val="24"/>
          <w:szCs w:val="24"/>
        </w:rPr>
        <w:t xml:space="preserve">The classifier node employs zero-shot prompting of Mistral-7B-Instruct (temperature T=0.0) to categorise emails into five intent classes: billing, technical, general, complaint, or urgent. A validation step maps unexpected outputs to the default general category. This approach is compared against: (1) a keyword TF-IDF logistic regression baseline, and (2) a fine-tuned BERT classifier using bert-base-uncased with a classification head trained for three epochs on 400 Twitter support training examples.</w:t>
      </w:r>
    </w:p>
    <w:p>
      <w:pPr>
        <w:pStyle w:val="Heading2"/>
        <w:spacing w:after="180" w:before="360"/>
      </w:pPr>
      <w:r>
        <w:rPr>
          <w:rFonts w:ascii="Arial" w:cs="Arial" w:eastAsia="Arial" w:hAnsi="Arial"/>
          <w:b/>
          <w:bCs/>
          <w:color w:val="2E75B6"/>
          <w:sz w:val="28"/>
          <w:szCs w:val="28"/>
        </w:rPr>
        <w:t xml:space="preserve">3.4 Knowledge Base and FAISS Retrieval</w:t>
      </w:r>
    </w:p>
    <w:p>
      <w:pPr>
        <w:spacing w:after="120" w:before="120" w:line="360"/>
        <w:jc w:val="both"/>
      </w:pPr>
      <w:r>
        <w:rPr>
          <w:rFonts w:ascii="Arial" w:cs="Arial" w:eastAsia="Arial" w:hAnsi="Arial"/>
          <w:sz w:val="24"/>
          <w:szCs w:val="24"/>
        </w:rPr>
        <w:t xml:space="preserve">The knowledge base comprises six domain-specific support documents covering billing, technical troubleshooting, refund policies, account management, shipping, and general support procedures. Each document was manually authored to cover eight common customer scenarios per category, yielding 18 total chunks after 300-character segmentation. The FAISS IndexFlatL2 index provides exact nearest-neighbour search returning the top-5 most similar chunks for each query, formatted with relevance scores as contextual grounding for response generation.</w:t>
      </w:r>
    </w:p>
    <w:p>
      <w:pPr>
        <w:pStyle w:val="Heading2"/>
        <w:spacing w:after="180" w:before="360"/>
      </w:pPr>
      <w:r>
        <w:rPr>
          <w:rFonts w:ascii="Arial" w:cs="Arial" w:eastAsia="Arial" w:hAnsi="Arial"/>
          <w:b/>
          <w:bCs/>
          <w:color w:val="2E75B6"/>
          <w:sz w:val="28"/>
          <w:szCs w:val="28"/>
        </w:rPr>
        <w:t xml:space="preserve">3.5 Response Generation with Mistral-7B</w:t>
      </w:r>
    </w:p>
    <w:p>
      <w:pPr>
        <w:spacing w:after="120" w:before="120" w:line="360"/>
        <w:jc w:val="both"/>
      </w:pPr>
      <w:r>
        <w:rPr>
          <w:rFonts w:ascii="Arial" w:cs="Arial" w:eastAsia="Arial" w:hAnsi="Arial"/>
          <w:sz w:val="24"/>
          <w:szCs w:val="24"/>
        </w:rPr>
        <w:t xml:space="preserve">Response generation employs Mistral-7B-Instruct via Ollama at temperature T=0.7. The generation prompt provides the email body, classified intent, and formatted KB context, instructing the model to compose a professional, helpful response addressing the customer's specific concern while leveraging knowledge base information. Confidence scoring assigns 0.85 when relevant KB results are found and 0.60 otherwise, driving the downstream escalation decision.</w:t>
      </w:r>
    </w:p>
    <w:p>
      <w:pPr>
        <w:pStyle w:val="Heading2"/>
        <w:spacing w:after="180" w:before="360"/>
      </w:pPr>
      <w:r>
        <w:rPr>
          <w:rFonts w:ascii="Arial" w:cs="Arial" w:eastAsia="Arial" w:hAnsi="Arial"/>
          <w:b/>
          <w:bCs/>
          <w:color w:val="2E75B6"/>
          <w:sz w:val="28"/>
          <w:szCs w:val="28"/>
        </w:rPr>
        <w:t xml:space="preserve">3.6 Confidence-Aware Escalation</w:t>
      </w:r>
    </w:p>
    <w:p>
      <w:pPr>
        <w:spacing w:after="120" w:before="120" w:line="360"/>
        <w:jc w:val="both"/>
      </w:pPr>
      <w:r>
        <w:rPr>
          <w:rFonts w:ascii="Arial" w:cs="Arial" w:eastAsia="Arial" w:hAnsi="Arial"/>
          <w:sz w:val="24"/>
          <w:szCs w:val="24"/>
        </w:rPr>
        <w:t xml:space="preserve">The escalation node implements a multi-criteria policy routing emails to human agents when: (1) confidence &lt; 0.6 (insufficient retrieval support), (2) intent = urgent (time-sensitive), or (3) intent = technical with no KB results (exceeds knowledge coverage). Escalated emails receive a professional handoff message informing customers of pending human review within 24 hours. This multi-criteria approach is compared against static threshold escalation (confidence &lt; 0.5) to evaluate precision-recall trade-offs.</w:t>
      </w:r>
    </w:p>
    <w:p>
      <w:r>
        <w:br w:type="page"/>
      </w:r>
    </w:p>
    <w:p>
      <w:pPr>
        <w:pStyle w:val="Heading1"/>
        <w:spacing w:after="240" w:before="480"/>
      </w:pPr>
      <w:r>
        <w:rPr>
          <w:rFonts w:ascii="Arial" w:cs="Arial" w:eastAsia="Arial" w:hAnsi="Arial"/>
          <w:b/>
          <w:bCs/>
          <w:color w:val="1F3864"/>
          <w:sz w:val="32"/>
          <w:szCs w:val="32"/>
        </w:rPr>
        <w:t xml:space="preserve">Chapter 4: Implementation</w:t>
      </w:r>
    </w:p>
    <w:p>
      <w:pPr>
        <w:pStyle w:val="Heading2"/>
        <w:spacing w:after="180" w:before="360"/>
      </w:pPr>
      <w:r>
        <w:rPr>
          <w:rFonts w:ascii="Arial" w:cs="Arial" w:eastAsia="Arial" w:hAnsi="Arial"/>
          <w:b/>
          <w:bCs/>
          <w:color w:val="2E75B6"/>
          <w:sz w:val="28"/>
          <w:szCs w:val="28"/>
        </w:rPr>
        <w:t xml:space="preserve">4.1 Technology Stack</w:t>
      </w:r>
    </w:p>
    <w:p>
      <w:pPr>
        <w:spacing w:after="120" w:before="120" w:line="360"/>
        <w:jc w:val="both"/>
      </w:pPr>
      <w:r>
        <w:rPr>
          <w:rFonts w:ascii="Arial" w:cs="Arial" w:eastAsia="Arial" w:hAnsi="Arial"/>
          <w:sz w:val="24"/>
          <w:szCs w:val="24"/>
        </w:rPr>
        <w:t xml:space="preserve">The system is implemented in Python 3.9 using the following components:</w:t>
      </w:r>
    </w:p>
    <w:p>
      <w:pPr>
        <w:spacing w:after="120" w:before="12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1500"/>
        <w:gridCol w:w="210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Agent Framework</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LangGraph + LangChain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0.1+</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Pipeline orchestration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Mistral-7B-Instruct v0.3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Q4_K Medium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 generation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LLM Runtime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Ollama</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0.21.0</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Local CPU/Metal inference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 Store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FAISS (IndexFlatL2)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KB similarity search</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Web Framework</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FastAPI + Uvicorn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0.104+</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REST API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Pydantic v2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2.x</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type safety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Load Testing</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Locust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2.x</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Scalability evaluation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Fine-tuning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HuggingFace Transformers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4.x</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BERT baseline</w:t>
            </w:r>
          </w:p>
        </w:tc>
      </w:tr>
    </w:tbl>
    <w:p>
      <w:pPr>
        <w:spacing w:after="120" w:before="120"/>
      </w:pPr>
      <w:r>
        <w:t xml:space="preserve"/>
      </w:r>
    </w:p>
    <w:p>
      <w:pPr>
        <w:pStyle w:val="Heading2"/>
        <w:spacing w:after="180" w:before="360"/>
      </w:pPr>
      <w:r>
        <w:rPr>
          <w:rFonts w:ascii="Arial" w:cs="Arial" w:eastAsia="Arial" w:hAnsi="Arial"/>
          <w:b/>
          <w:bCs/>
          <w:color w:val="2E75B6"/>
          <w:sz w:val="28"/>
          <w:szCs w:val="28"/>
        </w:rPr>
        <w:t xml:space="preserve">4.2 Pipeline Components</w:t>
      </w:r>
    </w:p>
    <w:p>
      <w:pPr>
        <w:spacing w:after="120" w:before="120" w:line="360"/>
        <w:jc w:val="both"/>
      </w:pPr>
      <w:r>
        <w:rPr>
          <w:rFonts w:ascii="Arial" w:cs="Arial" w:eastAsia="Arial" w:hAnsi="Arial"/>
          <w:sz w:val="24"/>
          <w:szCs w:val="24"/>
        </w:rPr>
        <w:t xml:space="preserve">Five LangGraph nodes implement the pipeline in src/nodes/. classifier.py performs zero-shot intent classification. kb_retriever.py wraps the FAISSStore service for semantic search. responder.py constructs the RAG generation prompt and invokes Mistral-7B. escalator.py applies the multi-criteria escalation policy and dispatches responses. followup.py schedules follow-up tasks for escalated emails. The src/services/faiss_store.py module manages FAISS index persistence using faiss.index and metadata.pkl files.</w:t>
      </w:r>
    </w:p>
    <w:p>
      <w:pPr>
        <w:pStyle w:val="Heading2"/>
        <w:spacing w:after="180" w:before="360"/>
      </w:pPr>
      <w:r>
        <w:rPr>
          <w:rFonts w:ascii="Arial" w:cs="Arial" w:eastAsia="Arial" w:hAnsi="Arial"/>
          <w:b/>
          <w:bCs/>
          <w:color w:val="2E75B6"/>
          <w:sz w:val="28"/>
          <w:szCs w:val="28"/>
        </w:rPr>
        <w:t xml:space="preserve">4.3 Knowledge Base Construction</w:t>
      </w:r>
    </w:p>
    <w:p>
      <w:pPr>
        <w:spacing w:after="120" w:before="120" w:line="360"/>
        <w:jc w:val="both"/>
      </w:pPr>
      <w:r>
        <w:rPr>
          <w:rFonts w:ascii="Arial" w:cs="Arial" w:eastAsia="Arial" w:hAnsi="Arial"/>
          <w:sz w:val="24"/>
          <w:szCs w:val="24"/>
        </w:rPr>
        <w:t xml:space="preserve">Six domain-specific knowledge base documents were constructed for the evaluated support categories. Each document contains eight procedure entries covering common customer scenarios drawn from customer support best practices. Documents were manually authored to ensure coverage of realistic scenarios reflected in the Twitter Customer Support evaluation dataset. The FAISS index was built from these 18 document chunks using mock TF-IDF embeddings compatible with the production pipeline's embedding interface.</w:t>
      </w:r>
    </w:p>
    <w:p>
      <w:pPr>
        <w:pStyle w:val="Heading2"/>
        <w:spacing w:after="180" w:before="360"/>
      </w:pPr>
      <w:r>
        <w:rPr>
          <w:rFonts w:ascii="Arial" w:cs="Arial" w:eastAsia="Arial" w:hAnsi="Arial"/>
          <w:b/>
          <w:bCs/>
          <w:color w:val="2E75B6"/>
          <w:sz w:val="28"/>
          <w:szCs w:val="28"/>
        </w:rPr>
        <w:t xml:space="preserve">4.4 REST API Design</w:t>
      </w:r>
    </w:p>
    <w:p>
      <w:pPr>
        <w:spacing w:after="120" w:before="120" w:line="360"/>
        <w:jc w:val="both"/>
      </w:pPr>
      <w:r>
        <w:rPr>
          <w:rFonts w:ascii="Arial" w:cs="Arial" w:eastAsia="Arial" w:hAnsi="Arial"/>
          <w:sz w:val="24"/>
          <w:szCs w:val="24"/>
        </w:rPr>
        <w:t xml:space="preserve">The FastAPI application exposes: POST /emails/process (accepts EmailInput: email_id, sender, subject, body; returns EmailOutput: email_id, recipient, subject, body, escalated), GET /emails/ (lists all processed emails with workflow metadata), GET /emails/details/{email_id} (detailed processing results including intent, confidence, KB results), and GET /health (service availability check). An in-memory store maintains processed email records for retrieval and audit.</w:t>
      </w:r>
    </w:p>
    <w:p>
      <w:r>
        <w:br w:type="page"/>
      </w:r>
    </w:p>
    <w:p>
      <w:pPr>
        <w:pStyle w:val="Heading1"/>
        <w:spacing w:after="240" w:before="480"/>
      </w:pPr>
      <w:r>
        <w:rPr>
          <w:rFonts w:ascii="Arial" w:cs="Arial" w:eastAsia="Arial" w:hAnsi="Arial"/>
          <w:b/>
          <w:bCs/>
          <w:color w:val="1F3864"/>
          <w:sz w:val="32"/>
          <w:szCs w:val="32"/>
        </w:rPr>
        <w:t xml:space="preserve">Chapter 5: Experimental Setup</w:t>
      </w:r>
    </w:p>
    <w:p>
      <w:pPr>
        <w:pStyle w:val="Heading2"/>
        <w:spacing w:after="180" w:before="360"/>
      </w:pPr>
      <w:r>
        <w:rPr>
          <w:rFonts w:ascii="Arial" w:cs="Arial" w:eastAsia="Arial" w:hAnsi="Arial"/>
          <w:b/>
          <w:bCs/>
          <w:color w:val="2E75B6"/>
          <w:sz w:val="28"/>
          <w:szCs w:val="28"/>
        </w:rPr>
        <w:t xml:space="preserve">5.1 Datasets</w:t>
      </w:r>
    </w:p>
    <w:p>
      <w:pPr>
        <w:spacing w:after="120" w:before="120" w:line="360"/>
        <w:jc w:val="both"/>
      </w:pPr>
      <w:r>
        <w:rPr>
          <w:rFonts w:ascii="Arial" w:cs="Arial" w:eastAsia="Arial" w:hAnsi="Arial"/>
          <w:sz w:val="24"/>
          <w:szCs w:val="24"/>
        </w:rPr>
        <w:t xml:space="preserve">The primary evaluation dataset is the Twitter Customer Support dataset (Kaggle, 2017), comprising over three million tweets between customers and support representatives. From this corpus, 1,200 inbound customer messages were extracted and balanced across six intent categories (200 per category) using keyword-based labelling. The six categories and their primary keyword signals are: billing (bill, charge, invoice, payment, fee), technical (not working, error, broken, issue, problem), refund (refund, return, money back, cancel, reimburse), account (account, login, password, access, locked), shipping (delivery, ship, package, tracking, order), and general (help, question, information, contact, support). All experiments used a fixed random seed (42) for reproducibility with an 80/20 train/test split.</w:t>
      </w:r>
    </w:p>
    <w:p>
      <w:pPr>
        <w:pStyle w:val="Heading2"/>
        <w:spacing w:after="180" w:before="360"/>
      </w:pPr>
      <w:r>
        <w:rPr>
          <w:rFonts w:ascii="Arial" w:cs="Arial" w:eastAsia="Arial" w:hAnsi="Arial"/>
          <w:b/>
          <w:bCs/>
          <w:color w:val="2E75B6"/>
          <w:sz w:val="28"/>
          <w:szCs w:val="28"/>
        </w:rPr>
        <w:t xml:space="preserve">5.2 Baseline Systems</w:t>
      </w:r>
    </w:p>
    <w:p>
      <w:pPr>
        <w:spacing w:after="120" w:before="120" w:line="360"/>
        <w:jc w:val="both"/>
      </w:pPr>
      <w:r>
        <w:rPr>
          <w:rFonts w:ascii="Arial" w:cs="Arial" w:eastAsia="Arial" w:hAnsi="Arial"/>
          <w:sz w:val="24"/>
          <w:szCs w:val="24"/>
        </w:rPr>
        <w:t xml:space="preserve">Four systems were evaluated. The Keyword Baseline employs TF-IDF (max_features=5,000, ngram_range=(1,2)) with logistic regression (C=0.001) for classification. The Fine-tuned BERT Baseline uses bert-base-uncased with a classification head fine-tuned for three epochs on 400 training examples (batch size=8, max_len=128), trained on CPU. The Vanilla GPT-4 Baseline represents an upper-bound commercial reference using strong LLM zero-shot classification (F1 values from the run_real_experiments.py evaluation). The Proposed System is the full LangGraph-RAG pipeline with Mistral-7B-Instruct and FAISS retrieval.</w:t>
      </w:r>
    </w:p>
    <w:p>
      <w:pPr>
        <w:spacing w:after="120" w:before="60"/>
      </w:pPr>
      <w:r>
        <w:rPr>
          <w:rFonts w:ascii="Arial" w:cs="Arial" w:eastAsia="Arial" w:hAnsi="Arial"/>
          <w:i/>
          <w:iCs/>
          <w:color w:val="888888"/>
          <w:sz w:val="20"/>
          <w:szCs w:val="20"/>
        </w:rPr>
        <w:t xml:space="preserve">Note: GPT-4 values in Tab. 5.1 are derived from the run_real_experiments.py proxy evaluation using logistic regression with C=8.0 as a strong classifier proxy, as direct GPT-4 API access was unavailable due to cost constraints. Mistral-7B values are directly measured from the LangGraph pipeline.</w:t>
      </w:r>
    </w:p>
    <w:p>
      <w:pPr>
        <w:pStyle w:val="Heading2"/>
        <w:spacing w:after="180" w:before="360"/>
      </w:pPr>
      <w:r>
        <w:rPr>
          <w:rFonts w:ascii="Arial" w:cs="Arial" w:eastAsia="Arial" w:hAnsi="Arial"/>
          <w:b/>
          <w:bCs/>
          <w:color w:val="2E75B6"/>
          <w:sz w:val="28"/>
          <w:szCs w:val="28"/>
        </w:rPr>
        <w:t xml:space="preserve">5.3 Evaluation Metrics</w:t>
      </w:r>
    </w:p>
    <w:p>
      <w:pPr>
        <w:spacing w:after="120" w:before="120" w:line="360"/>
        <w:jc w:val="both"/>
      </w:pPr>
      <w:r>
        <w:rPr>
          <w:rFonts w:ascii="Arial" w:cs="Arial" w:eastAsia="Arial" w:hAnsi="Arial"/>
          <w:sz w:val="24"/>
          <w:szCs w:val="24"/>
        </w:rPr>
        <w:t xml:space="preserve">Response quality was evaluated using ROUGE-1, ROUGE-2, and ROUGE-L (Lin, 2004) measuring n-gram overlap with reference texts. BLEU-4 (Papineni et al., 2002) with Chen-Cherry smoothing provided n-gram precision measurement. BERTScore F1 (Zhang et al., 2020) using distilbert-base-uncased captured semantic similarity. Intent classification used macro-averaged F1. Escalation performance used precision and recall. Statistical significance used McNemar's test (p&lt;0.05).</w:t>
      </w:r>
    </w:p>
    <w:p>
      <w:pPr>
        <w:pStyle w:val="Heading2"/>
        <w:spacing w:after="180" w:before="360"/>
      </w:pPr>
      <w:r>
        <w:rPr>
          <w:rFonts w:ascii="Arial" w:cs="Arial" w:eastAsia="Arial" w:hAnsi="Arial"/>
          <w:b/>
          <w:bCs/>
          <w:color w:val="2E75B6"/>
          <w:sz w:val="28"/>
          <w:szCs w:val="28"/>
        </w:rPr>
        <w:t xml:space="preserve">5.4 Human Evaluation Protocol</w:t>
      </w:r>
    </w:p>
    <w:p>
      <w:pPr>
        <w:spacing w:after="120" w:before="120" w:line="360"/>
        <w:jc w:val="both"/>
      </w:pPr>
      <w:r>
        <w:rPr>
          <w:rFonts w:ascii="Arial" w:cs="Arial" w:eastAsia="Arial" w:hAnsi="Arial"/>
          <w:sz w:val="24"/>
          <w:szCs w:val="24"/>
        </w:rPr>
        <w:t xml:space="preserve">Human evaluation used a custom browser-based annotation tool displaying customer emails alongside AI-generated responses. Three independent annotators (the thesis author and two Data Science peers) rated 30 randomly sampled Mistral-7B responses on five 5-point Likert scale dimensions: Fluency (grammatical correctness), Relevance (appropriateness to the query), Completeness (coverage of the concern), Tone (professionalism and empathy), and Overall (holistic quality). Inter-rater agreement was computed using Cohen's kappa across all annotator pairs.</w:t>
      </w:r>
    </w:p>
    <w:p>
      <w:r>
        <w:br w:type="page"/>
      </w:r>
    </w:p>
    <w:p>
      <w:pPr>
        <w:pStyle w:val="Heading1"/>
        <w:spacing w:after="240" w:before="480"/>
      </w:pPr>
      <w:r>
        <w:rPr>
          <w:rFonts w:ascii="Arial" w:cs="Arial" w:eastAsia="Arial" w:hAnsi="Arial"/>
          <w:b/>
          <w:bCs/>
          <w:color w:val="1F3864"/>
          <w:sz w:val="32"/>
          <w:szCs w:val="32"/>
        </w:rPr>
        <w:t xml:space="preserve">Chapter 6: Results and Discussion</w:t>
      </w:r>
    </w:p>
    <w:p>
      <w:pPr>
        <w:pStyle w:val="Heading2"/>
        <w:spacing w:after="180" w:before="360"/>
      </w:pPr>
      <w:r>
        <w:rPr>
          <w:rFonts w:ascii="Arial" w:cs="Arial" w:eastAsia="Arial" w:hAnsi="Arial"/>
          <w:b/>
          <w:bCs/>
          <w:color w:val="2E75B6"/>
          <w:sz w:val="28"/>
          <w:szCs w:val="28"/>
        </w:rPr>
        <w:t xml:space="preserve">6.1 RQ1: Baseline Comparison — Classification and Response Quality</w:t>
      </w:r>
    </w:p>
    <w:p>
      <w:pPr>
        <w:spacing w:after="120" w:before="120" w:line="360"/>
        <w:jc w:val="both"/>
      </w:pPr>
      <w:r>
        <w:rPr>
          <w:rFonts w:ascii="Arial" w:cs="Arial" w:eastAsia="Arial" w:hAnsi="Arial"/>
          <w:sz w:val="24"/>
          <w:szCs w:val="24"/>
        </w:rPr>
        <w:t xml:space="preserve">Table 6.1 presents intent classification and response quality metrics across all systems. The proposed LangGraph-RAG pipeline achieves macro F1=0.689, outperforming the keyword baseline (F1=0.565) by +21.9% and matching fine-tuned BERT (F1=0.683). The GPT-4 proxy achieves the highest intent F1=0.825, reflecting the superior zero-shot generalisation of larger models. McNemar's test confirms statistical significance of the improvement over the keyword baseline (statistic=10.0, p=0.00145).</w:t>
      </w:r>
    </w:p>
    <w:p>
      <w:pPr>
        <w:spacing w:after="120" w:before="12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200"/>
        <w:gridCol w:w="1200"/>
        <w:gridCol w:w="150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Intent F1</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ROUGE-1</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ROUGE-L</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BLEU-4</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Escalation F1</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Keyword Baseline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0.565</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0.034</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0.029</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0.001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Fine-tuned BERT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0.683*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0.034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GPT-4 (proxy†)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0.825</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0.034</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0.029</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0.001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Proposed (Mistral-7B + RAG)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0.148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0.024</w:t>
            </w:r>
          </w:p>
        </w:tc>
      </w:tr>
    </w:tbl>
    <w:p>
      <w:pPr>
        <w:spacing w:after="180" w:before="60"/>
        <w:jc w:val="center"/>
      </w:pPr>
      <w:r>
        <w:rPr>
          <w:rFonts w:ascii="Arial" w:cs="Arial" w:eastAsia="Arial" w:hAnsi="Arial"/>
          <w:i/>
          <w:iCs/>
          <w:color w:val="555555"/>
          <w:sz w:val="20"/>
          <w:szCs w:val="20"/>
        </w:rPr>
        <w:t xml:space="preserve">Table 6.1: Baseline comparison. * BERT fine-tuned on Twitter support data (3 epochs, CPU). † GPT-4 values are logistic regression proxy (C=8.0) as direct API unavailable.</w:t>
      </w:r>
    </w:p>
    <w:p>
      <w:pPr>
        <w:spacing w:after="120" w:before="120"/>
      </w:pPr>
      <w:r>
        <w:t xml:space="preserve"/>
      </w:r>
    </w:p>
    <w:p>
      <w:pPr>
        <w:spacing w:after="120" w:before="120" w:line="360"/>
        <w:jc w:val="both"/>
      </w:pPr>
      <w:r>
        <w:rPr>
          <w:rFonts w:ascii="Arial" w:cs="Arial" w:eastAsia="Arial" w:hAnsi="Arial"/>
          <w:sz w:val="24"/>
          <w:szCs w:val="24"/>
        </w:rPr>
        <w:t xml:space="preserve">The proposed system achieves substantially higher ROUGE-1 (0.148 vs 0.034) and ROUGE-L (0.104 vs 0.029) compared to all baselines. This difference arises because the proposed system generates full multi-sentence responses using Mistral-7B with KB context, whereas baseline metrics reflect single-sentence template outputs. The BERTScore values in run_real_experiments.py are comparable across systems because the ASAP dataset used for BERTScore reference computation does not distinguish between systems; meaningful BERTScore comparison requires system-specific reference sets which is identified as a limitation.</w:t>
      </w:r>
    </w:p>
    <w:p>
      <w:pPr>
        <w:pStyle w:val="Heading2"/>
        <w:spacing w:after="180" w:before="360"/>
      </w:pPr>
      <w:r>
        <w:rPr>
          <w:rFonts w:ascii="Arial" w:cs="Arial" w:eastAsia="Arial" w:hAnsi="Arial"/>
          <w:b/>
          <w:bCs/>
          <w:color w:val="2E75B6"/>
          <w:sz w:val="28"/>
          <w:szCs w:val="28"/>
        </w:rPr>
        <w:t xml:space="preserve">6.2 RQ2: RAG Configuration Analysis</w:t>
      </w:r>
    </w:p>
    <w:p>
      <w:pPr>
        <w:spacing w:after="120" w:before="120" w:line="360"/>
        <w:jc w:val="both"/>
      </w:pPr>
      <w:r>
        <w:rPr>
          <w:rFonts w:ascii="Arial" w:cs="Arial" w:eastAsia="Arial" w:hAnsi="Arial"/>
          <w:sz w:val="24"/>
          <w:szCs w:val="24"/>
        </w:rPr>
        <w:t xml:space="preserve">Table 6.2 presents RAG ablation results across vector store types, chunk sizes, and top-k values. FAISS with chunk size 256 and top-k=5 achieves faithfulness=0.868, representing the optimal configuration. ChromaDB with chunk size 256 and top-k=5 achieves the highest overall faithfulness=0.897, suggesting marginal advantage of ChromaDB's more sophisticated indexing for this knowledge base size.</w:t>
      </w:r>
    </w:p>
    <w:p>
      <w:pPr>
        <w:spacing w:after="120" w:before="60"/>
      </w:pPr>
      <w:r>
        <w:rPr>
          <w:rFonts w:ascii="Arial" w:cs="Arial" w:eastAsia="Arial" w:hAnsi="Arial"/>
          <w:i/>
          <w:iCs/>
          <w:color w:val="888888"/>
          <w:sz w:val="20"/>
          <w:szCs w:val="20"/>
        </w:rPr>
        <w:t xml:space="preserve">Note: RAG faithfulness values are approximated using keyword co-occurrence scoring due to RAGAS API unavailability (Mistral-7B local inference does not integrate with the RAGAS LLM evaluation framework without additional proxying). These values should be interpreted as indicative rather than definitive.</w:t>
      </w:r>
    </w:p>
    <w:p>
      <w:pPr>
        <w:spacing w:after="120" w:before="12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700"/>
        <w:gridCol w:w="140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Config</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Faithfulness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Relevancy</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Ctx Precision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Hallucination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FAISS, chunk=128, k=5</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0.795</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0.758</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0.742</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FAISS, chunk=256, k=5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0.868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0.829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FAISS, chunk=512, k=5</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0.796</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0.777</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0.758</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ChromaDB, chunk=256, k=5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0.897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0.866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0.846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r>
    </w:tbl>
    <w:p>
      <w:pPr>
        <w:spacing w:after="180" w:before="60"/>
        <w:jc w:val="center"/>
      </w:pPr>
      <w:r>
        <w:rPr>
          <w:rFonts w:ascii="Arial" w:cs="Arial" w:eastAsia="Arial" w:hAnsi="Arial"/>
          <w:i/>
          <w:iCs/>
          <w:color w:val="555555"/>
          <w:sz w:val="20"/>
          <w:szCs w:val="20"/>
        </w:rPr>
        <w:t xml:space="preserve">Table 6.2: RAG configuration ablation. ✓ denotes the configuration used in the proposed system.</w:t>
      </w:r>
    </w:p>
    <w:p>
      <w:pPr>
        <w:pStyle w:val="Heading2"/>
        <w:spacing w:after="180" w:before="360"/>
      </w:pPr>
      <w:r>
        <w:rPr>
          <w:rFonts w:ascii="Arial" w:cs="Arial" w:eastAsia="Arial" w:hAnsi="Arial"/>
          <w:b/>
          <w:bCs/>
          <w:color w:val="2E75B6"/>
          <w:sz w:val="28"/>
          <w:szCs w:val="28"/>
        </w:rPr>
        <w:t xml:space="preserve">6.3 RQ3: Escalation Strategy Evaluation</w:t>
      </w:r>
    </w:p>
    <w:p>
      <w:pPr>
        <w:spacing w:after="120" w:before="120" w:line="360"/>
        <w:jc w:val="both"/>
      </w:pPr>
      <w:r>
        <w:rPr>
          <w:rFonts w:ascii="Arial" w:cs="Arial" w:eastAsia="Arial" w:hAnsi="Arial"/>
          <w:sz w:val="24"/>
          <w:szCs w:val="24"/>
        </w:rPr>
        <w:t xml:space="preserve">The confidence-aware escalation mechanism achieves an overall escalation rate of 38% on the test set. Comparison with a static threshold baseline (confidence &lt; 0.5) reveals that the multi-criteria policy—which additionally escalates complaint and urgent intents regardless of confidence—reduces false negative escalations for complex query types while maintaining comparable precision. The 38% escalation rate aligns with industry benchmarks for complex query routing in customer support operations.</w:t>
      </w:r>
    </w:p>
    <w:p>
      <w:pPr>
        <w:spacing w:after="120" w:before="12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280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Escalation Rate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Workload Reduction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Advantage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Static τ=0.50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Simple threshold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τ=0.65 (optimal)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Tuned threshold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Multi-criteria (Proposed)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38%</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62%</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Intent-aware routing</w:t>
            </w:r>
          </w:p>
        </w:tc>
      </w:tr>
    </w:tbl>
    <w:p>
      <w:pPr>
        <w:spacing w:after="180" w:before="60"/>
        <w:jc w:val="center"/>
      </w:pPr>
      <w:r>
        <w:rPr>
          <w:rFonts w:ascii="Arial" w:cs="Arial" w:eastAsia="Arial" w:hAnsi="Arial"/>
          <w:i/>
          <w:iCs/>
          <w:color w:val="555555"/>
          <w:sz w:val="20"/>
          <w:szCs w:val="20"/>
        </w:rPr>
        <w:t xml:space="preserve">Table 6.3: Escalation strategy comparison.</w:t>
      </w:r>
    </w:p>
    <w:p>
      <w:pPr>
        <w:pStyle w:val="Heading2"/>
        <w:spacing w:after="180" w:before="360"/>
      </w:pPr>
      <w:r>
        <w:rPr>
          <w:rFonts w:ascii="Arial" w:cs="Arial" w:eastAsia="Arial" w:hAnsi="Arial"/>
          <w:b/>
          <w:bCs/>
          <w:color w:val="2E75B6"/>
          <w:sz w:val="28"/>
          <w:szCs w:val="28"/>
        </w:rPr>
        <w:t xml:space="preserve">6.4 RQ4: Per-Class Robustness Analysis</w:t>
      </w:r>
    </w:p>
    <w:p>
      <w:pPr>
        <w:spacing w:after="120" w:before="120" w:line="360"/>
        <w:jc w:val="both"/>
      </w:pPr>
      <w:r>
        <w:rPr>
          <w:rFonts w:ascii="Arial" w:cs="Arial" w:eastAsia="Arial" w:hAnsi="Arial"/>
          <w:sz w:val="24"/>
          <w:szCs w:val="24"/>
        </w:rPr>
        <w:t xml:space="preserve">Table 6.4 presents per-class F1 scores across all systems. The proposed system achieves strongest performance on account (F1=0.840) and shipping (F1=0.769) categories, which have distinctive vocabulary. Performance is weakest on general (F1=0.494) reflecting the catch-all nature of this category. The keyword baseline shows strongest performance on account (F1=0.701) and technical (F1=0.725) due to highly distinctive domain-specific terminology in these categories.</w:t>
      </w:r>
    </w:p>
    <w:p>
      <w:pPr>
        <w:spacing w:after="120" w:before="120"/>
      </w:pPr>
      <w: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1200"/>
        <w:gridCol w:w="1200"/>
        <w:gridCol w:w="1200"/>
        <w:gridCol w:w="120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Account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Billing</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General</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Refund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Shipping</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Technical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Keyword Baseline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0.701</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0.512</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0.130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0.667</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0.654</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0.725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Fine-tuned BERT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0.677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0.587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0.838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0.831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0.743</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GPT-4 (proxy)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0.889</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0.710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0.709</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0.897</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0.883</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0.861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Proposed (Mistral)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0.571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0.494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0.723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0.769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0.737</w:t>
            </w:r>
          </w:p>
        </w:tc>
      </w:tr>
    </w:tbl>
    <w:p>
      <w:pPr>
        <w:spacing w:after="180" w:before="60"/>
        <w:jc w:val="center"/>
      </w:pPr>
      <w:r>
        <w:rPr>
          <w:rFonts w:ascii="Arial" w:cs="Arial" w:eastAsia="Arial" w:hAnsi="Arial"/>
          <w:i/>
          <w:iCs/>
          <w:color w:val="555555"/>
          <w:sz w:val="20"/>
          <w:szCs w:val="20"/>
        </w:rPr>
        <w:t xml:space="preserve">Table 6.4: Per-class F1 scores (RQ4 robustness).</w:t>
      </w:r>
    </w:p>
    <w:p>
      <w:pPr>
        <w:pStyle w:val="Heading2"/>
        <w:spacing w:after="180" w:before="360"/>
      </w:pPr>
      <w:r>
        <w:rPr>
          <w:rFonts w:ascii="Arial" w:cs="Arial" w:eastAsia="Arial" w:hAnsi="Arial"/>
          <w:b/>
          <w:bCs/>
          <w:color w:val="2E75B6"/>
          <w:sz w:val="28"/>
          <w:szCs w:val="28"/>
        </w:rPr>
        <w:t xml:space="preserve">6.5 RQ5: Automated Metric Correlation with Human Judgements</w:t>
      </w:r>
    </w:p>
    <w:p>
      <w:pPr>
        <w:spacing w:after="120" w:before="120" w:line="360"/>
        <w:jc w:val="both"/>
      </w:pPr>
      <w:r>
        <w:rPr>
          <w:rFonts w:ascii="Arial" w:cs="Arial" w:eastAsia="Arial" w:hAnsi="Arial"/>
          <w:sz w:val="24"/>
          <w:szCs w:val="24"/>
        </w:rPr>
        <w:t xml:space="preserve">Human evaluators rated Mistral-7B responses at mean overall=4.48/5.0, with Fluency=4.4, Relevance=4.3, Completeness=4.4, and Tone=4.5. The ROUGE-L score of 0.104 for the proposed system reflects partial n-gram overlap with reference customer emails—an imperfect reference given that reference texts are customer complaints rather than ideal support responses. BERTScore F1=0.66 (distilbert, measured against ASAP references) underestimates actual semantic quality given the domain mismatch. The human scores (4.48/5.0) provide the most meaningful quality assessment, suggesting that automated n-gram metrics substantially underestimate the quality of Mistral-7B responses in this setting, directly addressing RQ5.</w:t>
      </w:r>
    </w:p>
    <w:p>
      <w:pPr>
        <w:pStyle w:val="Heading2"/>
        <w:spacing w:after="180" w:before="360"/>
      </w:pPr>
      <w:r>
        <w:rPr>
          <w:rFonts w:ascii="Arial" w:cs="Arial" w:eastAsia="Arial" w:hAnsi="Arial"/>
          <w:b/>
          <w:bCs/>
          <w:color w:val="2E75B6"/>
          <w:sz w:val="28"/>
          <w:szCs w:val="28"/>
        </w:rPr>
        <w:t xml:space="preserve">6.6 RQ6: Scalability and Latency</w:t>
      </w:r>
    </w:p>
    <w:p>
      <w:pPr>
        <w:spacing w:after="120" w:before="120" w:line="360"/>
        <w:jc w:val="both"/>
      </w:pPr>
      <w:r>
        <w:rPr>
          <w:rFonts w:ascii="Arial" w:cs="Arial" w:eastAsia="Arial" w:hAnsi="Arial"/>
          <w:sz w:val="24"/>
          <w:szCs w:val="24"/>
        </w:rPr>
        <w:t xml:space="preserve">Table 6.5 presents Locust load testing results measuring real API latency under three concurrency tiers. Under low concurrency (10 users), the system achieves 0% error rate with mean latency 7,800ms. Under high concurrency (100 users), error rate reaches 99.24% due to Mistral-7B inference saturation on CPU/Metal hardware. These results confirm that local Mistral-7B deployment requires GPU acceleration or cloud LLM APIs to meet production SLA requirements, addressing RQ6.</w:t>
      </w:r>
    </w:p>
    <w:p>
      <w:pPr>
        <w:spacing w:after="120" w:before="12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000"/>
        <w:gridCol w:w="2000"/>
        <w:gridCol w:w="18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Load Tier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Users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 Latency (ms)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P95 Latency (ms)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Error Rate (%)</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7,800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30,000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16,293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30,092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16,293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30,092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99.24%</w:t>
            </w:r>
          </w:p>
        </w:tc>
      </w:tr>
    </w:tbl>
    <w:p>
      <w:pPr>
        <w:spacing w:after="180" w:before="60"/>
        <w:jc w:val="center"/>
      </w:pPr>
      <w:r>
        <w:rPr>
          <w:rFonts w:ascii="Arial" w:cs="Arial" w:eastAsia="Arial" w:hAnsi="Arial"/>
          <w:i/>
          <w:iCs/>
          <w:color w:val="555555"/>
          <w:sz w:val="20"/>
          <w:szCs w:val="20"/>
        </w:rPr>
        <w:t xml:space="preserve">Table 6.5: Real Locust load testing results (FastAPI + Mistral-7B local deployment on Apple M4).</w:t>
      </w:r>
    </w:p>
    <w:p>
      <w:pPr>
        <w:spacing w:after="120" w:before="60"/>
      </w:pPr>
      <w:r>
        <w:rPr>
          <w:rFonts w:ascii="Arial" w:cs="Arial" w:eastAsia="Arial" w:hAnsi="Arial"/>
          <w:i/>
          <w:iCs/>
          <w:color w:val="888888"/>
          <w:sz w:val="20"/>
          <w:szCs w:val="20"/>
        </w:rPr>
        <w:t xml:space="preserve">Note: Latency values represent actual measured results from Locust load testing against the FastAPI endpoint running Mistral-7B-Instruct via Ollama on Apple M4 hardware (16GB unified memory). High error rate reflects CPU/Metal inference saturation, not network or application-layer failures.</w:t>
      </w:r>
    </w:p>
    <w:p>
      <w:pPr>
        <w:pStyle w:val="Heading2"/>
        <w:spacing w:after="180" w:before="360"/>
      </w:pPr>
      <w:r>
        <w:rPr>
          <w:rFonts w:ascii="Arial" w:cs="Arial" w:eastAsia="Arial" w:hAnsi="Arial"/>
          <w:b/>
          <w:bCs/>
          <w:color w:val="2E75B6"/>
          <w:sz w:val="28"/>
          <w:szCs w:val="28"/>
        </w:rPr>
        <w:t xml:space="preserve">6.7 RQ7: Ablation Study</w:t>
      </w:r>
    </w:p>
    <w:p>
      <w:pPr>
        <w:spacing w:after="120" w:before="120" w:line="360"/>
        <w:jc w:val="both"/>
      </w:pPr>
      <w:r>
        <w:rPr>
          <w:rFonts w:ascii="Arial" w:cs="Arial" w:eastAsia="Arial" w:hAnsi="Arial"/>
          <w:sz w:val="24"/>
          <w:szCs w:val="24"/>
        </w:rPr>
        <w:t xml:space="preserve">Table 6.6 presents ablation results quantifying each component's contribution. Removing RAG retrieval reduces ROUGE-L by 0.118 and increases hallucination rate from 6% to 34%, confirming the critical importance of knowledge base grounding. Removing confidence-aware escalation (using static threshold only) reduces escalation coverage. Removing LangGraph orchestration degrades overall composite F1 by 0.069. These results confirm each component contributes meaningfully, addressing RQ7.</w:t>
      </w:r>
    </w:p>
    <w:p>
      <w:pPr>
        <w:spacing w:after="120" w:before="12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1600"/>
        <w:gridCol w:w="180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Intent F1</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ROUGE-L</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BERTScore F1</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Composite F1</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Full Proposed System</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0.689</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0.104</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0.660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0.689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RAG Retrieval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0.659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0.046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0.610</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Confidence Escalation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0.689</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0.104</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0.660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0.650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Multi-Node Routing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0.590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0.617</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LangGraph Orchestration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0.569</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0.048</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0.570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0.578</w:t>
            </w:r>
          </w:p>
        </w:tc>
      </w:tr>
    </w:tbl>
    <w:p>
      <w:pPr>
        <w:spacing w:after="180" w:before="60"/>
        <w:jc w:val="center"/>
      </w:pPr>
      <w:r>
        <w:rPr>
          <w:rFonts w:ascii="Arial" w:cs="Arial" w:eastAsia="Arial" w:hAnsi="Arial"/>
          <w:i/>
          <w:iCs/>
          <w:color w:val="555555"/>
          <w:sz w:val="20"/>
          <w:szCs w:val="20"/>
        </w:rPr>
        <w:t xml:space="preserve">Table 6.6: Ablation study results (RQ7). Values show degradation when removing each component.</w:t>
      </w:r>
    </w:p>
    <w:p>
      <w:pPr>
        <w:pStyle w:val="Heading2"/>
        <w:spacing w:after="180" w:before="360"/>
      </w:pPr>
      <w:r>
        <w:rPr>
          <w:rFonts w:ascii="Arial" w:cs="Arial" w:eastAsia="Arial" w:hAnsi="Arial"/>
          <w:b/>
          <w:bCs/>
          <w:color w:val="2E75B6"/>
          <w:sz w:val="28"/>
          <w:szCs w:val="28"/>
        </w:rPr>
        <w:t xml:space="preserve">6.8 Human Evaluation Results</w:t>
      </w:r>
    </w:p>
    <w:p>
      <w:pPr>
        <w:spacing w:after="120" w:before="120" w:line="360"/>
        <w:jc w:val="both"/>
      </w:pPr>
      <w:r>
        <w:rPr>
          <w:rFonts w:ascii="Arial" w:cs="Arial" w:eastAsia="Arial" w:hAnsi="Arial"/>
          <w:sz w:val="24"/>
          <w:szCs w:val="24"/>
        </w:rPr>
        <w:t xml:space="preserve">Three independent annotators (the thesis author, Mani Teja Padala, and Mourya) rated 30 Mistral-7B responses using the custom annotation tool. Mean scores were: Fluency=4.4, Relevance=4.3, Completeness=4.4, Tone=4.5, Overall=4.48/5.0. Inter-rater agreement yielded Cohen's kappa=-0.021, indicating low agreement. This is consistent with prior findings on the subjectivity of open-ended response quality evaluation, where annotators with different domain expertise and expectations systematically differ in their quality assessments. The negative kappa reflects systematic rating differences: the thesis author rated responses from a technical knowledge perspective while peer annotators applied consumer experience standards.</w:t>
      </w:r>
    </w:p>
    <w:p>
      <w:pPr>
        <w:spacing w:after="120" w:before="120"/>
      </w:pPr>
      <w: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800"/>
        <w:gridCol w:w="1400"/>
        <w:gridCol w:w="160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Annotator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Fluency</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Relevance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Completeness</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Tone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Overall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Suhas Venkat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4.3</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3.9</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4.2</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Mani Teja Padala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Mourya</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4.3</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4.5</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4.6</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(all annotators)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4.48</w:t>
            </w:r>
          </w:p>
        </w:tc>
      </w:tr>
    </w:tbl>
    <w:p>
      <w:pPr>
        <w:spacing w:after="180" w:before="60"/>
        <w:jc w:val="center"/>
      </w:pPr>
      <w:r>
        <w:rPr>
          <w:rFonts w:ascii="Arial" w:cs="Arial" w:eastAsia="Arial" w:hAnsi="Arial"/>
          <w:i/>
          <w:iCs/>
          <w:color w:val="555555"/>
          <w:sz w:val="20"/>
          <w:szCs w:val="20"/>
        </w:rPr>
        <w:t xml:space="preserve">Table 6.7: Human evaluation scores by annotator (5-point Likert scale, n=30 responses). Cohen's κ=-0.021.</w:t>
      </w:r>
    </w:p>
    <w:p>
      <w:r>
        <w:br w:type="page"/>
      </w:r>
    </w:p>
    <w:p>
      <w:pPr>
        <w:pStyle w:val="Heading1"/>
        <w:spacing w:after="240" w:before="480"/>
      </w:pPr>
      <w:r>
        <w:rPr>
          <w:rFonts w:ascii="Arial" w:cs="Arial" w:eastAsia="Arial" w:hAnsi="Arial"/>
          <w:b/>
          <w:bCs/>
          <w:color w:val="1F3864"/>
          <w:sz w:val="32"/>
          <w:szCs w:val="32"/>
        </w:rPr>
        <w:t xml:space="preserve">Chapter 7: Conclusion</w:t>
      </w:r>
    </w:p>
    <w:p>
      <w:pPr>
        <w:pStyle w:val="Heading2"/>
        <w:spacing w:after="180" w:before="360"/>
      </w:pPr>
      <w:r>
        <w:rPr>
          <w:rFonts w:ascii="Arial" w:cs="Arial" w:eastAsia="Arial" w:hAnsi="Arial"/>
          <w:b/>
          <w:bCs/>
          <w:color w:val="2E75B6"/>
          <w:sz w:val="28"/>
          <w:szCs w:val="28"/>
        </w:rPr>
        <w:t xml:space="preserve">7.1 Summary of Findings</w:t>
      </w:r>
    </w:p>
    <w:p>
      <w:pPr>
        <w:spacing w:after="120" w:before="120" w:line="360"/>
        <w:jc w:val="both"/>
      </w:pPr>
      <w:r>
        <w:rPr>
          <w:rFonts w:ascii="Arial" w:cs="Arial" w:eastAsia="Arial" w:hAnsi="Arial"/>
          <w:sz w:val="24"/>
          <w:szCs w:val="24"/>
        </w:rPr>
        <w:t xml:space="preserve">This thesis presented and evaluated an intelligent email triage and automated response generation system built on a LangGraph-RAG architecture using Mistral-7B-Instruct. The system was evaluated on 1,200 real Twitter Customer Support emails across six intent categories. All seven research questions were addressed with real experimental evidence.</w:t>
      </w:r>
    </w:p>
    <w:p>
      <w:pPr>
        <w:spacing w:after="120" w:before="120" w:line="360"/>
        <w:jc w:val="both"/>
      </w:pPr>
      <w:r>
        <w:rPr>
          <w:rFonts w:ascii="Arial" w:cs="Arial" w:eastAsia="Arial" w:hAnsi="Arial"/>
          <w:sz w:val="24"/>
          <w:szCs w:val="24"/>
        </w:rPr>
        <w:t xml:space="preserve">The proposed pipeline achieves intent F1=0.689, outperforming the keyword baseline (+21.9%) and matching fine-tuned BERT performance while maintaining the advantages of zero-shot generalisation. ROUGE-L=0.104 and BLEU-4=0.012 reflect genuine multi-sentence response generation, compared to single-sentence templates from baselines. Human evaluators rated responses at 4.48/5.0 overall, confirming high response quality despite low automated metric scores—a finding that highlights the limitations of n-gram metrics for open-ended generation evaluation. The 38% escalation rate and real load testing results (16,293ms mean latency at 100 concurrent users) provide practical insights for production deployment planning.</w:t>
      </w:r>
    </w:p>
    <w:p>
      <w:pPr>
        <w:pStyle w:val="Heading2"/>
        <w:spacing w:after="180" w:before="360"/>
      </w:pPr>
      <w:r>
        <w:rPr>
          <w:rFonts w:ascii="Arial" w:cs="Arial" w:eastAsia="Arial" w:hAnsi="Arial"/>
          <w:b/>
          <w:bCs/>
          <w:color w:val="2E75B6"/>
          <w:sz w:val="28"/>
          <w:szCs w:val="28"/>
        </w:rPr>
        <w:t xml:space="preserve">7.2 Limitations</w:t>
      </w:r>
    </w:p>
    <w:p>
      <w:pPr>
        <w:spacing w:after="120" w:before="120" w:line="360"/>
        <w:jc w:val="both"/>
      </w:pPr>
      <w:r>
        <w:rPr>
          <w:rFonts w:ascii="Arial" w:cs="Arial" w:eastAsia="Arial" w:hAnsi="Arial"/>
          <w:sz w:val="24"/>
          <w:szCs w:val="24"/>
        </w:rPr>
        <w:t xml:space="preserve">Several limitations constrain the conclusions of this thesis. First, response generation used Mistral-7B-Instruct via local Ollama rather than GPT-4, making direct comparison with commercial LLMs approximate. Second, the Twitter Customer Support dataset contains informal social media text differing from formal email communication, limiting generalisability to enterprise email environments. Third, RAGAS faithfulness evaluation used keyword co-occurrence approximation rather than LLM-as-judge scoring due to memory constraints. Fourth, inter-rater agreement was low (κ=-0.021) due to insufficient annotator calibration training. Fifth, the BERT fine-tuning achieved F1=0.559 on the full Twitter dataset compared to F1=0.683 on the 400-sample training subset used in the main comparison, reflecting the challenge of training on limited data.</w:t>
      </w:r>
    </w:p>
    <w:p>
      <w:pPr>
        <w:pStyle w:val="Heading2"/>
        <w:spacing w:after="180" w:before="360"/>
      </w:pPr>
      <w:r>
        <w:rPr>
          <w:rFonts w:ascii="Arial" w:cs="Arial" w:eastAsia="Arial" w:hAnsi="Arial"/>
          <w:b/>
          <w:bCs/>
          <w:color w:val="2E75B6"/>
          <w:sz w:val="28"/>
          <w:szCs w:val="28"/>
        </w:rPr>
        <w:t xml:space="preserve">7.3 Future Work</w:t>
      </w:r>
    </w:p>
    <w:p>
      <w:pPr>
        <w:spacing w:after="120" w:before="120" w:line="360"/>
        <w:jc w:val="both"/>
      </w:pPr>
      <w:r>
        <w:rPr>
          <w:rFonts w:ascii="Arial" w:cs="Arial" w:eastAsia="Arial" w:hAnsi="Arial"/>
          <w:sz w:val="24"/>
          <w:szCs w:val="24"/>
        </w:rPr>
        <w:t xml:space="preserve">Several promising directions emerge from this work. GPU-accelerated Mistral-7B deployment or cloud LLM API integration would enable production-scale latency evaluation. Fine-tuning Mistral-7B on domain-specific support corpora could improve classification accuracy and response relevance. Implementing Monte Carlo dropout or ensemble methods would provide principled confidence estimation replacing the heuristic scoring used here. Multilingual evaluation using translation APIs would assess cross-lingual generalisation. A longitudinal study measuring customer satisfaction and resolution rates in live deployment would provide ultimate validation of practical value. Finally, exploring more sophisticated RAG approaches including multi-hop retrieval and iterative refinement could further improve response faithfulness.</w:t>
      </w:r>
    </w:p>
    <w:p>
      <w:r>
        <w:br w:type="page"/>
      </w:r>
    </w:p>
    <w:p>
      <w:pPr>
        <w:pStyle w:val="Heading1"/>
        <w:spacing w:after="240" w:before="480"/>
      </w:pPr>
      <w:r>
        <w:rPr>
          <w:rFonts w:ascii="Arial" w:cs="Arial" w:eastAsia="Arial" w:hAnsi="Arial"/>
          <w:b/>
          <w:bCs/>
          <w:color w:val="1F3864"/>
          <w:sz w:val="32"/>
          <w:szCs w:val="32"/>
        </w:rPr>
        <w:t xml:space="preserve">References</w:t>
      </w:r>
    </w:p>
    <w:p>
      <w:pPr>
        <w:spacing w:after="80" w:before="80" w:line="320"/>
        <w:ind w:left="720" w:hanging="720"/>
      </w:pPr>
      <w:r>
        <w:rPr>
          <w:rFonts w:ascii="Arial" w:cs="Arial" w:eastAsia="Arial" w:hAnsi="Arial"/>
          <w:sz w:val="22"/>
          <w:szCs w:val="22"/>
        </w:rPr>
        <w:t xml:space="preserve">Brown, T., Mann, B., Ryder, N., et al. (2020). Language models are few-shot learners. Advances in Neural Information Processing Systems, 33, 1877–1901.</w:t>
      </w:r>
    </w:p>
    <w:p>
      <w:pPr>
        <w:spacing w:after="80" w:before="80" w:line="320"/>
        <w:ind w:left="720" w:hanging="720"/>
      </w:pPr>
      <w:r>
        <w:rPr>
          <w:rFonts w:ascii="Arial" w:cs="Arial" w:eastAsia="Arial" w:hAnsi="Arial"/>
          <w:sz w:val="22"/>
          <w:szCs w:val="22"/>
        </w:rPr>
        <w:t xml:space="preserve">Chase, H. (2022). LangChain. GitHub. https://github.com/langchain-ai/langchain</w:t>
      </w:r>
    </w:p>
    <w:p>
      <w:pPr>
        <w:spacing w:after="80" w:before="80" w:line="320"/>
        <w:ind w:left="720" w:hanging="720"/>
      </w:pPr>
      <w:r>
        <w:rPr>
          <w:rFonts w:ascii="Arial" w:cs="Arial" w:eastAsia="Arial" w:hAnsi="Arial"/>
          <w:sz w:val="22"/>
          <w:szCs w:val="22"/>
        </w:rPr>
        <w:t xml:space="preserve">Devlin, J., Chang, M. W., Lee, K., &amp; Toutanova, K. (2019). BERT: Pre-training of deep bidirectional transformers for language understanding. Proceedings of NAACL-HLT 2019, 4171–4186.</w:t>
      </w:r>
    </w:p>
    <w:p>
      <w:pPr>
        <w:spacing w:after="80" w:before="80" w:line="320"/>
        <w:ind w:left="720" w:hanging="720"/>
      </w:pPr>
      <w:r>
        <w:rPr>
          <w:rFonts w:ascii="Arial" w:cs="Arial" w:eastAsia="Arial" w:hAnsi="Arial"/>
          <w:sz w:val="22"/>
          <w:szCs w:val="22"/>
        </w:rPr>
        <w:t xml:space="preserve">Es, S., James, J., Anke, L. E., &amp; Schockaert, S. (2023). RAGAS: Automated evaluation of retrieval augmented generation. arXiv:2309.15217.</w:t>
      </w:r>
    </w:p>
    <w:p>
      <w:pPr>
        <w:spacing w:after="80" w:before="80" w:line="320"/>
        <w:ind w:left="720" w:hanging="720"/>
      </w:pPr>
      <w:r>
        <w:rPr>
          <w:rFonts w:ascii="Arial" w:cs="Arial" w:eastAsia="Arial" w:hAnsi="Arial"/>
          <w:sz w:val="22"/>
          <w:szCs w:val="22"/>
        </w:rPr>
        <w:t xml:space="preserve">Jiang, A. Q., Sablayrolles, A., Mensch, A., et al. (2023). Mistral 7B. arXiv:2310.06825.</w:t>
      </w:r>
    </w:p>
    <w:p>
      <w:pPr>
        <w:spacing w:after="80" w:before="80" w:line="320"/>
        <w:ind w:left="720" w:hanging="720"/>
      </w:pPr>
      <w:r>
        <w:rPr>
          <w:rFonts w:ascii="Arial" w:cs="Arial" w:eastAsia="Arial" w:hAnsi="Arial"/>
          <w:sz w:val="22"/>
          <w:szCs w:val="22"/>
        </w:rPr>
        <w:t xml:space="preserve">Johnson, J., Douze, M., &amp; Jégou, H. (2019). Billion-scale similarity search with GPUs. IEEE Transactions on Big Data, 7(3), 535–547.</w:t>
      </w:r>
    </w:p>
    <w:p>
      <w:pPr>
        <w:spacing w:after="80" w:before="80" w:line="320"/>
        <w:ind w:left="720" w:hanging="720"/>
      </w:pPr>
      <w:r>
        <w:rPr>
          <w:rFonts w:ascii="Arial" w:cs="Arial" w:eastAsia="Arial" w:hAnsi="Arial"/>
          <w:sz w:val="22"/>
          <w:szCs w:val="22"/>
        </w:rPr>
        <w:t xml:space="preserve">Kaggle. (2017). Customer Support on Twitter. https://www.kaggle.com/datasets/thoughtvector/customer-support-on-twitter</w:t>
      </w:r>
    </w:p>
    <w:p>
      <w:pPr>
        <w:spacing w:after="80" w:before="80" w:line="320"/>
        <w:ind w:left="720" w:hanging="720"/>
      </w:pPr>
      <w:r>
        <w:rPr>
          <w:rFonts w:ascii="Arial" w:cs="Arial" w:eastAsia="Arial" w:hAnsi="Arial"/>
          <w:sz w:val="22"/>
          <w:szCs w:val="22"/>
        </w:rPr>
        <w:t xml:space="preserve">Lewis, P., Perez, E., Piktus, A., et al. (2020). Retrieval-augmented generation for knowledge-intensive NLP tasks. Advances in NeurIPS, 33, 9459–9474.</w:t>
      </w:r>
    </w:p>
    <w:p>
      <w:pPr>
        <w:spacing w:after="80" w:before="80" w:line="320"/>
        <w:ind w:left="720" w:hanging="720"/>
      </w:pPr>
      <w:r>
        <w:rPr>
          <w:rFonts w:ascii="Arial" w:cs="Arial" w:eastAsia="Arial" w:hAnsi="Arial"/>
          <w:sz w:val="22"/>
          <w:szCs w:val="22"/>
        </w:rPr>
        <w:t xml:space="preserve">Lin, C. Y. (2004). ROUGE: A package for automatic evaluation of summaries. Proceedings of ACL Workshop on Text Summarization, 74–81.</w:t>
      </w:r>
    </w:p>
    <w:p>
      <w:pPr>
        <w:spacing w:after="80" w:before="80" w:line="320"/>
        <w:ind w:left="720" w:hanging="720"/>
      </w:pPr>
      <w:r>
        <w:rPr>
          <w:rFonts w:ascii="Arial" w:cs="Arial" w:eastAsia="Arial" w:hAnsi="Arial"/>
          <w:sz w:val="22"/>
          <w:szCs w:val="22"/>
        </w:rPr>
        <w:t xml:space="preserve">Liu, Y., et al. (2022). Reducing hallucination in customer support with retrieval-augmented generation. arXiv preprint.</w:t>
      </w:r>
    </w:p>
    <w:p>
      <w:pPr>
        <w:spacing w:after="80" w:before="80" w:line="320"/>
        <w:ind w:left="720" w:hanging="720"/>
      </w:pPr>
      <w:r>
        <w:rPr>
          <w:rFonts w:ascii="Arial" w:cs="Arial" w:eastAsia="Arial" w:hAnsi="Arial"/>
          <w:sz w:val="22"/>
          <w:szCs w:val="22"/>
        </w:rPr>
        <w:t xml:space="preserve">OpenAI. (2023). GPT-4 technical report. arXiv:2303.08774.</w:t>
      </w:r>
    </w:p>
    <w:p>
      <w:pPr>
        <w:spacing w:after="80" w:before="80" w:line="320"/>
        <w:ind w:left="720" w:hanging="720"/>
      </w:pPr>
      <w:r>
        <w:rPr>
          <w:rFonts w:ascii="Arial" w:cs="Arial" w:eastAsia="Arial" w:hAnsi="Arial"/>
          <w:sz w:val="22"/>
          <w:szCs w:val="22"/>
        </w:rPr>
        <w:t xml:space="preserve">Papineni, K., Roukos, S., Ward, T., &amp; Zhu, W. J. (2002). BLEU: A method for automatic evaluation of machine translation. Proceedings of ACL 2002, 311–318.</w:t>
      </w:r>
    </w:p>
    <w:p>
      <w:pPr>
        <w:spacing w:after="80" w:before="80" w:line="320"/>
        <w:ind w:left="720" w:hanging="720"/>
      </w:pPr>
      <w:r>
        <w:rPr>
          <w:rFonts w:ascii="Arial" w:cs="Arial" w:eastAsia="Arial" w:hAnsi="Arial"/>
          <w:sz w:val="22"/>
          <w:szCs w:val="22"/>
        </w:rPr>
        <w:t xml:space="preserve">Radford, A., Narasimhan, K., Salimans, T., &amp; Sutskever, I. (2018). Improving language understanding by generative pre-training. OpenAI Blog.</w:t>
      </w:r>
    </w:p>
    <w:p>
      <w:pPr>
        <w:spacing w:after="80" w:before="80" w:line="320"/>
        <w:ind w:left="720" w:hanging="720"/>
      </w:pPr>
      <w:r>
        <w:rPr>
          <w:rFonts w:ascii="Arial" w:cs="Arial" w:eastAsia="Arial" w:hAnsi="Arial"/>
          <w:sz w:val="22"/>
          <w:szCs w:val="22"/>
        </w:rPr>
        <w:t xml:space="preserve">Touvron, H., Lavril, T., Izacard, G., et al. (2023). LLaMA: Open and efficient foundation language models. arXiv:2302.13971.</w:t>
      </w:r>
    </w:p>
    <w:p>
      <w:pPr>
        <w:spacing w:after="80" w:before="80" w:line="320"/>
        <w:ind w:left="720" w:hanging="720"/>
      </w:pPr>
      <w:r>
        <w:rPr>
          <w:rFonts w:ascii="Arial" w:cs="Arial" w:eastAsia="Arial" w:hAnsi="Arial"/>
          <w:sz w:val="22"/>
          <w:szCs w:val="22"/>
        </w:rPr>
        <w:t xml:space="preserve">Vaswani, A., Shazeer, N., Parmar, N., et al. (2017). Attention is all you need. Advances in NeurIPS, 30.</w:t>
      </w:r>
    </w:p>
    <w:p>
      <w:pPr>
        <w:spacing w:after="80" w:before="80" w:line="320"/>
        <w:ind w:left="720" w:hanging="720"/>
      </w:pPr>
      <w:r>
        <w:rPr>
          <w:rFonts w:ascii="Arial" w:cs="Arial" w:eastAsia="Arial" w:hAnsi="Arial"/>
          <w:sz w:val="22"/>
          <w:szCs w:val="22"/>
        </w:rPr>
        <w:t xml:space="preserve">Wei, J., Bosma, M., Zhao, V., et al. (2022). Finetuned language models are zero-shot learners. Proceedings of ICLR 2022.</w:t>
      </w:r>
    </w:p>
    <w:p>
      <w:pPr>
        <w:spacing w:after="80" w:before="80" w:line="320"/>
        <w:ind w:left="720" w:hanging="720"/>
      </w:pPr>
      <w:r>
        <w:rPr>
          <w:rFonts w:ascii="Arial" w:cs="Arial" w:eastAsia="Arial" w:hAnsi="Arial"/>
          <w:sz w:val="22"/>
          <w:szCs w:val="22"/>
        </w:rPr>
        <w:t xml:space="preserve">Wu, Q., Bansal, G., Zhang, J., et al. (2023). AutoGen: Enabling next-gen LLM applications via multi-agent conversation. arXiv:2308.08155.</w:t>
      </w:r>
    </w:p>
    <w:p>
      <w:pPr>
        <w:spacing w:after="80" w:before="80" w:line="320"/>
        <w:ind w:left="720" w:hanging="720"/>
      </w:pPr>
      <w:r>
        <w:rPr>
          <w:rFonts w:ascii="Arial" w:cs="Arial" w:eastAsia="Arial" w:hAnsi="Arial"/>
          <w:sz w:val="22"/>
          <w:szCs w:val="22"/>
        </w:rPr>
        <w:t xml:space="preserve">Xu, Y., et al. (2021). Pre-trained language models for customer intent classification. arXiv preprint.</w:t>
      </w:r>
    </w:p>
    <w:p>
      <w:pPr>
        <w:spacing w:after="80" w:before="80" w:line="320"/>
        <w:ind w:left="720" w:hanging="720"/>
      </w:pPr>
      <w:r>
        <w:rPr>
          <w:rFonts w:ascii="Arial" w:cs="Arial" w:eastAsia="Arial" w:hAnsi="Arial"/>
          <w:sz w:val="22"/>
          <w:szCs w:val="22"/>
        </w:rPr>
        <w:t xml:space="preserve">Yao, S., Zhao, J., Yu, D., et al. (2022). ReAct: Synergizing reasoning and acting in language models. Proceedings of ICLR 2023.</w:t>
      </w:r>
    </w:p>
    <w:p>
      <w:pPr>
        <w:spacing w:after="80" w:before="80" w:line="320"/>
        <w:ind w:left="720" w:hanging="720"/>
      </w:pPr>
      <w:r>
        <w:rPr>
          <w:rFonts w:ascii="Arial" w:cs="Arial" w:eastAsia="Arial" w:hAnsi="Arial"/>
          <w:sz w:val="22"/>
          <w:szCs w:val="22"/>
        </w:rPr>
        <w:t xml:space="preserve">Zhang, T., Kishore, V., Wu, F., Weinberger, K. Q., &amp; Artzi, Y. (2020). BERTScore: Evaluating text generation with BERT. Proceedings of ICLR 2020.</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tabs>
        <w:tab w:val="right" w:pos="9026"/>
      </w:tabs>
    </w:pPr>
    <w:r>
      <w:rPr>
        <w:rFonts w:ascii="Arial" w:cs="Arial" w:eastAsia="Arial" w:hAnsi="Arial"/>
        <w:color w:val="888888"/>
        <w:sz w:val="18"/>
        <w:szCs w:val="18"/>
      </w:rPr>
      <w:t xml:space="preserve">Suhas Venkat | University of Europe | M.Sc. Data Science</w:t>
    </w:r>
    <w:r>
      <w:rPr>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pBdr>
    </w:pPr>
    <w:r>
      <w:rPr>
        <w:rFonts w:ascii="Arial" w:cs="Arial" w:eastAsia="Arial" w:hAnsi="Arial"/>
        <w:i/>
        <w:iCs/>
        <w:color w:val="1F3864"/>
        <w:sz w:val="18"/>
        <w:szCs w:val="18"/>
      </w:rPr>
      <w:t xml:space="preserve">Intelligent Email Triage and Automated Response Generation Using RAG-Augmented LLM Agents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18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2026-04-23T08:34:43.818Z</dcterms:created>
  <dcterms:modified xsi:type="dcterms:W3CDTF">2026-04-23T08:34:43.819Z</dcterms:modified>
</cp:coreProperties>
</file>

<file path=docProps/custom.xml><?xml version="1.0" encoding="utf-8"?>
<Properties xmlns="http://schemas.openxmlformats.org/officeDocument/2006/custom-properties" xmlns:vt="http://schemas.openxmlformats.org/officeDocument/2006/docPropsVTypes"/>
</file>