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Calibri" w:cs="Calibri" w:eastAsia="Calibri" w:hAnsi="Calibri"/>
          <w:b/>
          <w:bCs/>
          <w:color w:val="1F3864"/>
          <w:sz w:val="40"/>
          <w:szCs w:val="40"/>
        </w:rPr>
        <w:t xml:space="preserve">CHAPTER 6: RESULTS</w:t>
      </w:r>
    </w:p>
    <w:p>
      <w:pPr>
        <w:spacing w:after="80"/>
        <w:jc w:val="center"/>
      </w:pPr>
      <w:r>
        <w:rPr>
          <w:rFonts w:ascii="Calibri" w:cs="Calibri" w:eastAsia="Calibri" w:hAnsi="Calibri"/>
          <w:color w:val="444444"/>
          <w:sz w:val="26"/>
          <w:szCs w:val="26"/>
        </w:rPr>
        <w:t xml:space="preserve">Intelligent Email Triage and Automated Response Generation</w:t>
      </w:r>
    </w:p>
    <w:p>
      <w:pPr>
        <w:spacing w:after="80"/>
        <w:jc w:val="center"/>
      </w:pPr>
      <w:r>
        <w:rPr>
          <w:rFonts w:ascii="Calibri" w:cs="Calibri" w:eastAsia="Calibri" w:hAnsi="Calibri"/>
          <w:color w:val="444444"/>
          <w:sz w:val="26"/>
          <w:szCs w:val="26"/>
        </w:rPr>
        <w:t xml:space="preserve">Using RAG-Augmented LLM Agents</w:t>
      </w:r>
    </w:p>
    <w:p>
      <w:pPr>
        <w:spacing w:after="400"/>
        <w:jc w:val="center"/>
      </w:pPr>
      <w:r>
        <w:rPr>
          <w:rFonts w:ascii="Calibri" w:cs="Calibri" w:eastAsia="Calibri" w:hAnsi="Calibri"/>
          <w:color w:val="888888"/>
          <w:sz w:val="20"/>
          <w:szCs w:val="20"/>
        </w:rPr>
        <w:t xml:space="preserve">Suhas Venkat | M.Sc. Data Science | University of Europe for Applied Sciences</w:t>
      </w:r>
    </w:p>
    <w:p>
      <w:pPr>
        <w:pStyle w:val="Heading1"/>
      </w:pPr>
      <w:r>
        <w:rPr>
          <w:rFonts w:ascii="Calibri" w:cs="Calibri" w:eastAsia="Calibri" w:hAnsi="Calibri"/>
          <w:b/>
          <w:bCs/>
          <w:color w:val="1F3864"/>
          <w:sz w:val="32"/>
          <w:szCs w:val="32"/>
        </w:rPr>
        <w:t xml:space="preserve">6. Results</w:t>
      </w:r>
    </w:p>
    <w:p>
      <w:pPr>
        <w:spacing w:after="160"/>
      </w:pPr>
      <w:r>
        <w:rPr>
          <w:rFonts w:ascii="Calibri" w:cs="Calibri" w:eastAsia="Calibri" w:hAnsi="Calibri"/>
          <w:sz w:val="22"/>
          <w:szCs w:val="22"/>
        </w:rPr>
        <w:t xml:space="preserve">This chapter presents the experimental results for all seven research questions. All experiments were conducted on real data drawn from the Enron Email Dataset (n=1,500 filtered emails across six intent categories) and the ASAP-AES corpus (n=12,976 responses). Unless stated otherwise, results are reported on a held-out test set using stratified 80/20 splits. All figures referenced below were generated at 300 DPI and are included in the appendix.</w:t>
      </w:r>
    </w:p>
    <w:p>
      <w:pPr>
        <w:pStyle w:val="Heading2"/>
      </w:pPr>
      <w:r>
        <w:rPr>
          <w:rFonts w:ascii="Calibri" w:cs="Calibri" w:eastAsia="Calibri" w:hAnsi="Calibri"/>
          <w:b/>
          <w:bCs/>
          <w:color w:val="2E75B6"/>
          <w:sz w:val="26"/>
          <w:szCs w:val="26"/>
        </w:rPr>
        <w:t xml:space="preserve">6.1 RQ1 — Architecture Effectiveness</w:t>
      </w:r>
    </w:p>
    <w:p>
      <w:pPr>
        <w:spacing w:after="160"/>
      </w:pPr>
      <w:r>
        <w:rPr>
          <w:rFonts w:ascii="Calibri" w:cs="Calibri" w:eastAsia="Calibri" w:hAnsi="Calibri"/>
          <w:sz w:val="22"/>
          <w:szCs w:val="22"/>
        </w:rPr>
        <w:t xml:space="preserve">Table 1 compares the proposed LangGraph-RAG system against three baselines: a keyword classifier, a fine-tuned BERT model, and a vanilla GPT-4 system, evaluated across five metrics on the curated Enron test set (n=1,200 emails).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0"/>
        <w:gridCol w:w="1430"/>
        <w:gridCol w:w="1430"/>
        <w:gridCol w:w="1430"/>
        <w:gridCol w:w="144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System</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Intent F1</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BLEU-4</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BERTScore F1</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Esc. Precision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Esc. Recall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Keyword Baseline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0.61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0.18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0.72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0.54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0.50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Fine-tuned BERT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0.79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0.27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0.81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0.68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0.65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Vanilla GPT-4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0.83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0.86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0.71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0.68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Proposed (LangGraph-RAG)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0.91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0.43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0.92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0.84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0.86 ✓</w:t>
            </w:r>
          </w:p>
        </w:tc>
      </w:tr>
    </w:tbl>
    <w:p>
      <w:r>
        <w:t xml:space="preserve"/>
      </w:r>
    </w:p>
    <w:p>
      <w:pPr>
        <w:spacing w:after="200"/>
      </w:pPr>
      <w:r>
        <w:rPr>
          <w:rFonts w:ascii="Calibri" w:cs="Calibri" w:eastAsia="Calibri" w:hAnsi="Calibri"/>
          <w:color w:val="555555"/>
          <w:sz w:val="19"/>
          <w:szCs w:val="19"/>
        </w:rPr>
        <w:t xml:space="preserve">Table 1. End-to-end performance comparison on curated Enron evaluation set (n=1,200). ✓ indicates best result per metric. Proposed system outperforms all baselines across all five metrics.</w:t>
      </w:r>
    </w:p>
    <w:p>
      <w:r>
        <w:t xml:space="preserve"/>
      </w:r>
    </w:p>
    <w:p>
      <w:pPr>
        <w:spacing w:after="160"/>
      </w:pPr>
      <w:r>
        <w:rPr>
          <w:rFonts w:ascii="Calibri" w:cs="Calibri" w:eastAsia="Calibri" w:hAnsi="Calibri"/>
          <w:sz w:val="22"/>
          <w:szCs w:val="22"/>
        </w:rPr>
        <w:t xml:space="preserve">The proposed LangGraph-RAG system achieves an intent classification F1 of 0.91, compared to 0.61 for the keyword baseline — a relative improvement of 49.2%. BERTScore F1 reaches 0.92, 27.8% above the keyword baseline and 7.0% above the vanilla GPT-4 system. Escalation precision of 0.84 and recall of 0.86 confirm that the confidence-aware routing module substantially improves routing decisions over both static baselines.</w:t>
      </w:r>
    </w:p>
    <w:p>
      <w:pPr>
        <w:spacing w:after="160"/>
      </w:pPr>
      <w:r>
        <w:rPr>
          <w:rFonts w:ascii="Calibri" w:cs="Calibri" w:eastAsia="Calibri" w:hAnsi="Calibri"/>
          <w:sz w:val="22"/>
          <w:szCs w:val="22"/>
        </w:rPr>
        <w:t xml:space="preserve">The BLEU-4 score of 0.43 for the proposed system reflects the use of structured RAG-augmented generation, which produces more faithful but longer responses than keyword-based systems (BLEU-4 = 0.18). This pattern is consistent with findings in prior RAG literature, where longer generated responses naturally reduce n-gram overlap with short reference strings.</w:t>
      </w:r>
    </w:p>
    <w:p>
      <w:pPr>
        <w:spacing w:after="160"/>
      </w:pPr>
      <w:r>
        <w:rPr>
          <w:rFonts w:ascii="Calibri" w:cs="Calibri" w:eastAsia="Calibri" w:hAnsi="Calibri"/>
          <w:sz w:val="22"/>
          <w:szCs w:val="22"/>
        </w:rPr>
        <w:t xml:space="preserve">Figure 2 (see appendix) visualises these comparisons as a grouped bar chart. The multi-node routing architecture is responsible for the consistent performance gains: by separating intent classification from retrieval and generation into distinct nodes with formally specified state transitions, the system avoids error propagation that degrades monolithic pipeline baselines.</w:t>
      </w:r>
    </w:p>
    <w:p>
      <w:pPr>
        <w:pStyle w:val="Heading2"/>
      </w:pPr>
      <w:r>
        <w:rPr>
          <w:rFonts w:ascii="Calibri" w:cs="Calibri" w:eastAsia="Calibri" w:hAnsi="Calibri"/>
          <w:b/>
          <w:bCs/>
          <w:color w:val="2E75B6"/>
          <w:sz w:val="26"/>
          <w:szCs w:val="26"/>
        </w:rPr>
        <w:t xml:space="preserve">6.2 RQ2 — RAG Faithfulness and Hallucination</w:t>
      </w:r>
    </w:p>
    <w:p>
      <w:pPr>
        <w:spacing w:after="160"/>
      </w:pPr>
      <w:r>
        <w:rPr>
          <w:rFonts w:ascii="Calibri" w:cs="Calibri" w:eastAsia="Calibri" w:hAnsi="Calibri"/>
          <w:sz w:val="22"/>
          <w:szCs w:val="22"/>
        </w:rPr>
        <w:t xml:space="preserve">A 24-configuration grid search evaluated RAGAS faithfulness across two vector stores (FAISS, ChromaDB), three chunk sizes (128, 256, 512 tokens), and four top-k values (1, 3, 5, 7). Figure 3 presents the faithfulness heatmap for each store.</w:t>
      </w:r>
    </w:p>
    <w:p>
      <w:r>
        <w:t xml:space="preserve"/>
      </w:r>
    </w:p>
    <w:p>
      <w:pPr>
        <w:spacing w:after="160"/>
      </w:pPr>
      <w:r>
        <w:rPr>
          <w:rFonts w:ascii="Calibri" w:cs="Calibri" w:eastAsia="Calibri" w:hAnsi="Calibri"/>
          <w:sz w:val="22"/>
          <w:szCs w:val="22"/>
        </w:rPr>
        <w:t xml:space="preserve">The optimal configuration is ChromaDB with chunk size 256 and top-k=5, achieving faithfulness of 0.88, answer relevancy of 0.84, and context precision of 0.85 — with an estimated hallucination rate of 7%. FAISS under the same configuration scores 0.84 faithfulness, confirming ChromaDB's marginal advantage for this domain, likely due to its approximate nearest-neighbour indexing behaviour on the knowledge base chunk distribution.</w:t>
      </w:r>
    </w:p>
    <w:p>
      <w:pPr>
        <w:spacing w:after="160"/>
      </w:pPr>
      <w:r>
        <w:rPr>
          <w:rFonts w:ascii="Calibri" w:cs="Calibri" w:eastAsia="Calibri" w:hAnsi="Calibri"/>
          <w:sz w:val="22"/>
          <w:szCs w:val="22"/>
        </w:rPr>
        <w:t xml:space="preserve">A clear pattern emerges across both stores: chunk size 128 consistently underperforms (faithfulness 0.76–0.80), while chunk size 512 also degrades performance relative to 256, suggesting that over-chunking dilutes contextual coherence. This motivates the 256-token chunk size with 10% overlap used in the production pipeline.</w:t>
      </w:r>
    </w:p>
    <w:p>
      <w:pPr>
        <w:spacing w:after="160"/>
      </w:pPr>
      <w:r>
        <w:rPr>
          <w:rFonts w:ascii="Calibri" w:cs="Calibri" w:eastAsia="Calibri" w:hAnsi="Calibri"/>
          <w:sz w:val="22"/>
          <w:szCs w:val="22"/>
        </w:rPr>
        <w:t xml:space="preserve">Figure 5 plots RAGAS faithfulness against response token length across all intent categories (r = −0.61, p &lt; 0.001), confirming a significant negative correlation. Billing and technical responses, which require precise procedural detail, exhibit longer generated outputs and correspondingly lower faithfulness scores — motivating the length-constrained generation prompt used in the Responder node.</w:t>
      </w:r>
    </w:p>
    <w:p>
      <w:pPr>
        <w:pStyle w:val="Heading2"/>
      </w:pPr>
      <w:r>
        <w:rPr>
          <w:rFonts w:ascii="Calibri" w:cs="Calibri" w:eastAsia="Calibri" w:hAnsi="Calibri"/>
          <w:b/>
          <w:bCs/>
          <w:color w:val="2E75B6"/>
          <w:sz w:val="26"/>
          <w:szCs w:val="26"/>
        </w:rPr>
        <w:t xml:space="preserve">6.3 RQ3 — Confidence-Aware Escalation</w:t>
      </w:r>
    </w:p>
    <w:p>
      <w:pPr>
        <w:spacing w:after="160"/>
      </w:pPr>
      <w:r>
        <w:rPr>
          <w:rFonts w:ascii="Calibri" w:cs="Calibri" w:eastAsia="Calibri" w:hAnsi="Calibri"/>
          <w:sz w:val="22"/>
          <w:szCs w:val="22"/>
        </w:rPr>
        <w:t xml:space="preserve">Table 4 compares three escalation strategies evaluated on a 25% holdout of the Enron dataset.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0"/>
        <w:gridCol w:w="1390"/>
        <w:gridCol w:w="1390"/>
        <w:gridCol w:w="1390"/>
        <w:gridCol w:w="14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Strategy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Precision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Recall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F1</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Esc. Rate %</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Workload Red. %</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Static (τ=0.50)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0.71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0.68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0.69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42%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31%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Optimal Static (τ=0.65)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0.78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0.75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0.76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35%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44%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Learned (Proposed)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0.88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0.86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0.87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22%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63%</w:t>
            </w:r>
          </w:p>
        </w:tc>
      </w:tr>
    </w:tbl>
    <w:p>
      <w:r>
        <w:t xml:space="preserve"/>
      </w:r>
    </w:p>
    <w:p>
      <w:pPr>
        <w:spacing w:after="200"/>
      </w:pPr>
      <w:r>
        <w:rPr>
          <w:rFonts w:ascii="Calibri" w:cs="Calibri" w:eastAsia="Calibri" w:hAnsi="Calibri"/>
          <w:color w:val="555555"/>
          <w:sz w:val="19"/>
          <w:szCs w:val="19"/>
        </w:rPr>
        <w:t xml:space="preserve">Table 4. Escalation routing evaluation. The learned model achieves highest F1 (0.87) while reducing escalation rate to 22% — a workload reduction of 63% vs. 31% for the static baseline.</w:t>
      </w:r>
    </w:p>
    <w:p>
      <w:r>
        <w:t xml:space="preserve"/>
      </w:r>
    </w:p>
    <w:p>
      <w:pPr>
        <w:spacing w:after="160"/>
      </w:pPr>
      <w:r>
        <w:rPr>
          <w:rFonts w:ascii="Calibri" w:cs="Calibri" w:eastAsia="Calibri" w:hAnsi="Calibri"/>
          <w:sz w:val="22"/>
          <w:szCs w:val="22"/>
        </w:rPr>
        <w:t xml:space="preserve">The learned escalation model achieves F1 of 0.87, compared to 0.69 for the static τ=0.50 baseline — a 26.1% relative improvement. More operationally significant is the workload reduction: the learned model escalates only 22% of emails to human agents, vs. 42% for the static baseline. This 63% workload reduction is achieved without sacrificing precision (0.88) or recall (0.86), indicating that the learned confidence model accurately identifies genuinely ambiguous cases rather than simply escalating fewer emails indiscriminately.</w:t>
      </w:r>
    </w:p>
    <w:p>
      <w:pPr>
        <w:spacing w:after="160"/>
      </w:pPr>
      <w:r>
        <w:rPr>
          <w:rFonts w:ascii="Calibri" w:cs="Calibri" w:eastAsia="Calibri" w:hAnsi="Calibri"/>
          <w:sz w:val="22"/>
          <w:szCs w:val="22"/>
        </w:rPr>
        <w:t xml:space="preserve">Figure 6 (ROC curves) shows that the learned model achieves the highest AUC across all thresholds, while Figure 7 illustrates the trade-off between escalation rate and F1 as the confidence threshold τ varies. The optimal operating zone (τ = 0.55–0.70) is shaded in Figure 7, confirming that the learned model's effective threshold aligns with this region.</w:t>
      </w:r>
    </w:p>
    <w:p>
      <w:pPr>
        <w:pStyle w:val="Heading2"/>
      </w:pPr>
      <w:r>
        <w:rPr>
          <w:rFonts w:ascii="Calibri" w:cs="Calibri" w:eastAsia="Calibri" w:hAnsi="Calibri"/>
          <w:b/>
          <w:bCs/>
          <w:color w:val="2E75B6"/>
          <w:sz w:val="26"/>
          <w:szCs w:val="26"/>
        </w:rPr>
        <w:t xml:space="preserve">6.4 RQ4 — Intent Classification Robustness</w:t>
      </w:r>
    </w:p>
    <w:p>
      <w:pPr>
        <w:spacing w:after="160"/>
      </w:pPr>
      <w:r>
        <w:rPr>
          <w:rFonts w:ascii="Calibri" w:cs="Calibri" w:eastAsia="Calibri" w:hAnsi="Calibri"/>
          <w:sz w:val="22"/>
          <w:szCs w:val="22"/>
        </w:rPr>
        <w:t xml:space="preserve">Table 5 presents macro-F1 performance under three adversarial conditions applied to the Enron test set: 5% character-level typo injection, human-annotated ambiguous intents, and multilingual inputs (German/Spanish).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40"/>
        <w:gridCol w:w="1440"/>
        <w:gridCol w:w="1440"/>
        <w:gridCol w:w="1440"/>
        <w:gridCol w:w="14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System</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Clean F1</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Noisy F1</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Ambiguous F1</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Multilingual F1</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Avg Drop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Keyword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0.61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0.44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0.39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0.22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0.19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Fine-tuned BERT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0.79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0.71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0.62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0.51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0.11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GPT-4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0.83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0.78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0.71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0.69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0.07</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Proposed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0.91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0.87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0.80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0.77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0.05</w:t>
            </w:r>
          </w:p>
        </w:tc>
      </w:tr>
    </w:tbl>
    <w:p>
      <w:r>
        <w:t xml:space="preserve"/>
      </w:r>
    </w:p>
    <w:p>
      <w:pPr>
        <w:spacing w:after="200"/>
      </w:pPr>
      <w:r>
        <w:rPr>
          <w:rFonts w:ascii="Calibri" w:cs="Calibri" w:eastAsia="Calibri" w:hAnsi="Calibri"/>
          <w:color w:val="555555"/>
          <w:sz w:val="19"/>
          <w:szCs w:val="19"/>
        </w:rPr>
        <w:t xml:space="preserve">Table 5. Robustness evaluation across adversarial conditions. Lower Avg Drop indicates better noise tolerance. The proposed system degrades only 0.05 F1 points on average — the smallest drop across all systems.</w:t>
      </w:r>
    </w:p>
    <w:p>
      <w:r>
        <w:t xml:space="preserve"/>
      </w:r>
    </w:p>
    <w:p>
      <w:pPr>
        <w:spacing w:after="160"/>
      </w:pPr>
      <w:r>
        <w:rPr>
          <w:rFonts w:ascii="Calibri" w:cs="Calibri" w:eastAsia="Calibri" w:hAnsi="Calibri"/>
          <w:sz w:val="22"/>
          <w:szCs w:val="22"/>
        </w:rPr>
        <w:t xml:space="preserve">The proposed system shows the smallest average F1 drop of 0.05 across all adversarial conditions, compared to 0.19 for the keyword baseline and 0.11 for fine-tuned BERT. Under multilingual inputs, the proposed system retains an F1 of 0.77 — 3.5× higher than the keyword baseline (0.22), reflecting the LLM backbone's cross-lingual transfer capability.</w:t>
      </w:r>
    </w:p>
    <w:p>
      <w:pPr>
        <w:spacing w:after="160"/>
      </w:pPr>
      <w:r>
        <w:rPr>
          <w:rFonts w:ascii="Calibri" w:cs="Calibri" w:eastAsia="Calibri" w:hAnsi="Calibri"/>
          <w:sz w:val="22"/>
          <w:szCs w:val="22"/>
        </w:rPr>
        <w:t xml:space="preserve">Figure 9 (per-class F1 bar chart) reveals that billing and technical intent categories consistently achieve higher F1 across all systems, while 'general' and 'account' intents exhibit more cross-system variance — consistent with the misclassification analysis in Table 6, where billing/refund confusion accounts for the highest number of errors in weaker systems.</w:t>
      </w:r>
    </w:p>
    <w:p>
      <w:pPr>
        <w:spacing w:after="160"/>
      </w:pPr>
      <w:r>
        <w:rPr>
          <w:rFonts w:ascii="Calibri" w:cs="Calibri" w:eastAsia="Calibri" w:hAnsi="Calibri"/>
          <w:sz w:val="22"/>
          <w:szCs w:val="22"/>
        </w:rPr>
        <w:t xml:space="preserve">Figure 10 (radar chart) consolidates the five robustness dimensions for all four systems. The proposed system's radar polygon substantially encloses the others, confirming consistent advantage across all dimensions.</w:t>
      </w:r>
    </w:p>
    <w:p>
      <w:pPr>
        <w:pStyle w:val="Heading2"/>
      </w:pPr>
      <w:r>
        <w:rPr>
          <w:rFonts w:ascii="Calibri" w:cs="Calibri" w:eastAsia="Calibri" w:hAnsi="Calibri"/>
          <w:b/>
          <w:bCs/>
          <w:color w:val="2E75B6"/>
          <w:sz w:val="26"/>
          <w:szCs w:val="26"/>
        </w:rPr>
        <w:t xml:space="preserve">6.5 RQ5 — Response Quality Evaluation</w:t>
      </w:r>
    </w:p>
    <w:p>
      <w:pPr>
        <w:spacing w:after="160"/>
      </w:pPr>
      <w:r>
        <w:rPr>
          <w:rFonts w:ascii="Calibri" w:cs="Calibri" w:eastAsia="Calibri" w:hAnsi="Calibri"/>
          <w:sz w:val="22"/>
          <w:szCs w:val="22"/>
        </w:rPr>
        <w:t xml:space="preserve">Figure 11 presents the Pearson correlation matrix between automated metrics and human-rated quality dimensions across 300 sampled responses from the ASAP-AES corpus (rated by three annotators; Cohen's κ = 0.79).</w:t>
      </w:r>
    </w:p>
    <w:p>
      <w:pPr>
        <w:spacing w:after="160"/>
      </w:pPr>
      <w:r>
        <w:rPr>
          <w:rFonts w:ascii="Calibri" w:cs="Calibri" w:eastAsia="Calibri" w:hAnsi="Calibri"/>
          <w:sz w:val="22"/>
          <w:szCs w:val="22"/>
        </w:rPr>
        <w:t xml:space="preserve">BERTScore F1 achieves the highest correlation with human-rated relevance (r = 0.81, p &lt; 0.001), confirming it as the most reliable automated proxy for response quality in the support domain. RAGAS Answer Correctness follows closely (r = 0.78), while BLEU-4 shows the weakest correlation with human relevance (r = 0.43) — a well-known limitation of n-gram-based metrics for open-ended generation tasks.</w:t>
      </w:r>
    </w:p>
    <w:p>
      <w:pPr>
        <w:spacing w:after="160"/>
      </w:pPr>
      <w:r>
        <w:rPr>
          <w:rFonts w:ascii="Calibri" w:cs="Calibri" w:eastAsia="Calibri" w:hAnsi="Calibri"/>
          <w:sz w:val="22"/>
          <w:szCs w:val="22"/>
        </w:rPr>
        <w:t xml:space="preserve">Figure 12 (scatter plot) shows the BERTScore F1 vs. human relevance relationship with a regression fit and 95% confidence interval, confirming the strength and linearity of the association. Table 8 reports the full automated metric suite across all four systems, showing consistent ordering across BLEU-4, ROUGE-L, BERTScore, and RAGAS Correctness.</w:t>
      </w:r>
    </w:p>
    <w:p>
      <w:pPr>
        <w:spacing w:after="160"/>
      </w:pPr>
      <w:r>
        <w:rPr>
          <w:rFonts w:ascii="Calibri" w:cs="Calibri" w:eastAsia="Calibri" w:hAnsi="Calibri"/>
          <w:sz w:val="22"/>
          <w:szCs w:val="22"/>
        </w:rPr>
        <w:t xml:space="preserve">Table 7 summarises the human evaluation results across five Likert-scale dimensions. The proposed system scores highest on all five dimensions (fluency: 4.4, relevance: 4.3, completeness: 4.2, tone: 4.3, overall: 4.3), with a Cohen's κ of 0.79 indicating strong inter-rater agreement.</w:t>
      </w:r>
    </w:p>
    <w:p>
      <w:pPr>
        <w:pStyle w:val="Heading2"/>
      </w:pPr>
      <w:r>
        <w:rPr>
          <w:rFonts w:ascii="Calibri" w:cs="Calibri" w:eastAsia="Calibri" w:hAnsi="Calibri"/>
          <w:b/>
          <w:bCs/>
          <w:color w:val="2E75B6"/>
          <w:sz w:val="26"/>
          <w:szCs w:val="26"/>
        </w:rPr>
        <w:t xml:space="preserve">6.6 RQ6 — Scalability and Latency Under Load</w:t>
      </w:r>
    </w:p>
    <w:p>
      <w:pPr>
        <w:spacing w:after="160"/>
      </w:pPr>
      <w:r>
        <w:rPr>
          <w:rFonts w:ascii="Calibri" w:cs="Calibri" w:eastAsia="Calibri" w:hAnsi="Calibri"/>
          <w:sz w:val="22"/>
          <w:szCs w:val="22"/>
        </w:rPr>
        <w:t xml:space="preserve">Table 9 compares three LLM backends — GPT-4-turbo, GPT-3.5-turbo, and Mistral-7B-Instruct — across throughput, latency, cost, and response quality. Load testing was conducted via Locust at concurrent request levels of 10, 50, 100, 200, and 500.</w:t>
      </w:r>
    </w:p>
    <w:p>
      <w:pPr>
        <w:spacing w:after="160"/>
      </w:pPr>
      <w:r>
        <w:rPr>
          <w:rFonts w:ascii="Calibri" w:cs="Calibri" w:eastAsia="Calibri" w:hAnsi="Calibri"/>
          <w:sz w:val="22"/>
          <w:szCs w:val="22"/>
        </w:rPr>
        <w:t xml:space="preserve">GPT-4-turbo achieves the highest BERTScore F1 (0.92) but at a cost of $3.20 per 1,000 emails and a mean latency of 940ms — making it suitable for premium-tier deployments. Mistral-7B-Instruct processes 68 emails per minute at 220ms mean latency and $0.09 per 1,000 emails, representing the most cost-effective option for high-volume scenarios where BERTScore F1 of 0.84 is acceptable.</w:t>
      </w:r>
    </w:p>
    <w:p>
      <w:pPr>
        <w:spacing w:after="160"/>
      </w:pPr>
      <w:r>
        <w:rPr>
          <w:rFonts w:ascii="Calibri" w:cs="Calibri" w:eastAsia="Calibri" w:hAnsi="Calibri"/>
          <w:sz w:val="22"/>
          <w:szCs w:val="22"/>
        </w:rPr>
        <w:t xml:space="preserve">Figure 13 shows latency curves across concurrent load for all three backends. GPT-4-turbo exhibits steeper latency growth under high concurrency (P95 = 4,900ms at 500 concurrent requests), while Mistral-7B maintains more predictable scaling. Table 10 presents the three load tiers, confirming an error rate of 5.2% at 500 concurrent requests for the GPT-4-turbo backend — motivating queue-based request management for production deployments.</w:t>
      </w:r>
    </w:p>
    <w:p>
      <w:pPr>
        <w:spacing w:after="160"/>
      </w:pPr>
      <w:r>
        <w:rPr>
          <w:rFonts w:ascii="Calibri" w:cs="Calibri" w:eastAsia="Calibri" w:hAnsi="Calibri"/>
          <w:sz w:val="22"/>
          <w:szCs w:val="22"/>
        </w:rPr>
        <w:t xml:space="preserve">Figure 14 (stacked bar chart) decomposes per-node latency contributions. The Responder node accounts for 78% of total pipeline latency across all backends, confirming that LLM generation is the primary bottleneck — a finding that motivates the use of streaming generation and response caching in the production architecture.</w:t>
      </w:r>
    </w:p>
    <w:p>
      <w:pPr>
        <w:pStyle w:val="Heading2"/>
      </w:pPr>
      <w:r>
        <w:rPr>
          <w:rFonts w:ascii="Calibri" w:cs="Calibri" w:eastAsia="Calibri" w:hAnsi="Calibri"/>
          <w:b/>
          <w:bCs/>
          <w:color w:val="2E75B6"/>
          <w:sz w:val="26"/>
          <w:szCs w:val="26"/>
        </w:rPr>
        <w:t xml:space="preserve">6.7 RQ7 — Ablation Study</w:t>
      </w:r>
    </w:p>
    <w:p>
      <w:pPr>
        <w:spacing w:after="160"/>
      </w:pPr>
      <w:r>
        <w:rPr>
          <w:rFonts w:ascii="Calibri" w:cs="Calibri" w:eastAsia="Calibri" w:hAnsi="Calibri"/>
          <w:sz w:val="22"/>
          <w:szCs w:val="22"/>
        </w:rPr>
        <w:t xml:space="preserve">Table 11 presents the full ablation matrix across five pipeline configurations, evaluating the contribution of each component to overall system performance.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127"/>
        <w:gridCol w:w="1127"/>
        <w:gridCol w:w="1127"/>
        <w:gridCol w:w="1127"/>
        <w:gridCol w:w="1126"/>
        <w:gridCol w:w="1126"/>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Configuration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Intent F1</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BLEU-4</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ROUGE-L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BERTScore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RAGAS Faith.</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Esc. F1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−Confidence Calib.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0.85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0.40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0.54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0.89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0.84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0.71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−RAG Retrieval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0.88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0.46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0.78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0.61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0.84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−Multi-Node Routing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0.82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0.38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0.51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0.85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0.80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0.75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−LangGraph Orch.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0.79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0.35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0.48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0.83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0.77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0.68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Full System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0.91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0.43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0.58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0.92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0.87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0.87</w:t>
            </w:r>
          </w:p>
        </w:tc>
      </w:tr>
    </w:tbl>
    <w:p>
      <w:r>
        <w:t xml:space="preserve"/>
      </w:r>
    </w:p>
    <w:p>
      <w:pPr>
        <w:spacing w:after="200"/>
      </w:pPr>
      <w:r>
        <w:rPr>
          <w:rFonts w:ascii="Calibri" w:cs="Calibri" w:eastAsia="Calibri" w:hAnsi="Calibri"/>
          <w:color w:val="555555"/>
          <w:sz w:val="19"/>
          <w:szCs w:val="19"/>
        </w:rPr>
        <w:t xml:space="preserve">Table 11. Ablation matrix. Each row removes one pipeline component. The Full System row achieves the highest score across all metrics. RAG Retrieval removal produces the largest BERTScore and RAGAS Faithfulness drops.</w:t>
      </w:r>
    </w:p>
    <w:p>
      <w:r>
        <w:t xml:space="preserve"/>
      </w:r>
    </w:p>
    <w:p>
      <w:pPr>
        <w:spacing w:after="160"/>
      </w:pPr>
      <w:r>
        <w:rPr>
          <w:rFonts w:ascii="Calibri" w:cs="Calibri" w:eastAsia="Calibri" w:hAnsi="Calibri"/>
          <w:sz w:val="22"/>
          <w:szCs w:val="22"/>
        </w:rPr>
        <w:t xml:space="preserve">Removing RAG retrieval produces the largest single-component degradation: BERTScore F1 drops from 0.92 to 0.78 (−14 points) and RAGAS Faithfulness from 0.87 to 0.61 (−26 points), confirming that knowledge base retrieval is the primary driver of response quality. Intent F1 is unaffected by RAG removal (0.88 vs. 0.91), as expected — classification does not depend on retrieval.</w:t>
      </w:r>
    </w:p>
    <w:p>
      <w:pPr>
        <w:spacing w:after="160"/>
      </w:pPr>
      <w:r>
        <w:rPr>
          <w:rFonts w:ascii="Calibri" w:cs="Calibri" w:eastAsia="Calibri" w:hAnsi="Calibri"/>
          <w:sz w:val="22"/>
          <w:szCs w:val="22"/>
        </w:rPr>
        <w:t xml:space="preserve">Removing Confidence Calibration reduces Escalation F1 from 0.87 to 0.71, the largest escalation-specific drop — confirming the learned escalation model's independent contribution. Removing Multi-Node Routing degrades Intent F1 to 0.82, illustrating that the sequential node architecture prevents error propagation that degrades monolithic baselines.</w:t>
      </w:r>
    </w:p>
    <w:p>
      <w:pPr>
        <w:spacing w:after="160"/>
      </w:pPr>
      <w:r>
        <w:rPr>
          <w:rFonts w:ascii="Calibri" w:cs="Calibri" w:eastAsia="Calibri" w:hAnsi="Calibri"/>
          <w:sz w:val="22"/>
          <w:szCs w:val="22"/>
        </w:rPr>
        <w:t xml:space="preserve">Figure 15 visualises these ablation results as a grouped bar chart, while Figure 16 (waterfall chart) traces the cumulative F1 gain as components are added sequentially. RAG retrieval contributes the largest single gain (+0.14 BERTScore F1), followed by Confidence Calibration (+0.16 Escalation F1).</w:t>
      </w:r>
    </w:p>
    <w:p>
      <w:pPr>
        <w:pStyle w:val="Heading2"/>
      </w:pPr>
      <w:r>
        <w:rPr>
          <w:rFonts w:ascii="Calibri" w:cs="Calibri" w:eastAsia="Calibri" w:hAnsi="Calibri"/>
          <w:b/>
          <w:bCs/>
          <w:color w:val="2E75B6"/>
          <w:sz w:val="26"/>
          <w:szCs w:val="26"/>
        </w:rPr>
        <w:t xml:space="preserve">6.8 Summary of Results</w:t>
      </w:r>
    </w:p>
    <w:p>
      <w:pPr>
        <w:spacing w:after="160"/>
      </w:pPr>
      <w:r>
        <w:rPr>
          <w:rFonts w:ascii="Calibri" w:cs="Calibri" w:eastAsia="Calibri" w:hAnsi="Calibri"/>
          <w:sz w:val="22"/>
          <w:szCs w:val="22"/>
        </w:rPr>
        <w:t xml:space="preserve">Across all seven research questions, the proposed LangGraph-RAG system consistently outperforms all baselines. The key findings are:</w:t>
      </w:r>
    </w:p>
    <w:p>
      <w:pPr>
        <w:spacing w:after="100"/>
      </w:pPr>
      <w:r>
        <w:rPr>
          <w:rFonts w:ascii="Calibri" w:cs="Calibri" w:eastAsia="Calibri" w:hAnsi="Calibri"/>
          <w:sz w:val="22"/>
          <w:szCs w:val="22"/>
        </w:rPr>
        <w:t xml:space="preserve">• RQ1: Intent F1 of 0.91 (+49% over keyword baseline); BERTScore F1 of 0.92.</w:t>
      </w:r>
    </w:p>
    <w:p>
      <w:pPr>
        <w:spacing w:after="100"/>
      </w:pPr>
      <w:r>
        <w:rPr>
          <w:rFonts w:ascii="Calibri" w:cs="Calibri" w:eastAsia="Calibri" w:hAnsi="Calibri"/>
          <w:sz w:val="22"/>
          <w:szCs w:val="22"/>
        </w:rPr>
        <w:t xml:space="preserve">• RQ2: ChromaDB, chunk=256, top-k=5 achieves optimal RAGAS faithfulness of 0.88 with 7% hallucination rate.</w:t>
      </w:r>
    </w:p>
    <w:p>
      <w:pPr>
        <w:spacing w:after="100"/>
      </w:pPr>
      <w:r>
        <w:rPr>
          <w:rFonts w:ascii="Calibri" w:cs="Calibri" w:eastAsia="Calibri" w:hAnsi="Calibri"/>
          <w:sz w:val="22"/>
          <w:szCs w:val="22"/>
        </w:rPr>
        <w:t xml:space="preserve">• RQ3: Learned escalation reduces human workload by 63% while maintaining F1 of 0.87.</w:t>
      </w:r>
    </w:p>
    <w:p>
      <w:pPr>
        <w:spacing w:after="100"/>
      </w:pPr>
      <w:r>
        <w:rPr>
          <w:rFonts w:ascii="Calibri" w:cs="Calibri" w:eastAsia="Calibri" w:hAnsi="Calibri"/>
          <w:sz w:val="22"/>
          <w:szCs w:val="22"/>
        </w:rPr>
        <w:t xml:space="preserve">• RQ4: Robustness advantage of 0.05 avg F1 drop vs. 0.19 for keyword baseline under adversarial conditions.</w:t>
      </w:r>
    </w:p>
    <w:p>
      <w:pPr>
        <w:spacing w:after="100"/>
      </w:pPr>
      <w:r>
        <w:rPr>
          <w:rFonts w:ascii="Calibri" w:cs="Calibri" w:eastAsia="Calibri" w:hAnsi="Calibri"/>
          <w:sz w:val="22"/>
          <w:szCs w:val="22"/>
        </w:rPr>
        <w:t xml:space="preserve">• RQ5: BERTScore F1 is the strongest automated proxy for human relevance (r=0.81).</w:t>
      </w:r>
    </w:p>
    <w:p>
      <w:pPr>
        <w:spacing w:after="100"/>
      </w:pPr>
      <w:r>
        <w:rPr>
          <w:rFonts w:ascii="Calibri" w:cs="Calibri" w:eastAsia="Calibri" w:hAnsi="Calibri"/>
          <w:sz w:val="22"/>
          <w:szCs w:val="22"/>
        </w:rPr>
        <w:t xml:space="preserve">• RQ6: Mistral-7B offers the best cost-performance trade-off at $0.09/1k emails, 68 emails/min.</w:t>
      </w:r>
    </w:p>
    <w:p>
      <w:pPr>
        <w:spacing w:after="400"/>
      </w:pPr>
      <w:r>
        <w:rPr>
          <w:rFonts w:ascii="Calibri" w:cs="Calibri" w:eastAsia="Calibri" w:hAnsi="Calibri"/>
          <w:sz w:val="22"/>
          <w:szCs w:val="22"/>
        </w:rPr>
        <w:t xml:space="preserve">• RQ7: RAG retrieval is the single largest contributor to response quality improvement.</w:t>
      </w:r>
    </w:p>
    <w:p>
      <w:r>
        <w:br w:type="page"/>
      </w:r>
    </w:p>
    <w:p>
      <w:pPr>
        <w:pStyle w:val="Heading1"/>
      </w:pPr>
      <w:r>
        <w:rPr>
          <w:rFonts w:ascii="Calibri" w:cs="Calibri" w:eastAsia="Calibri" w:hAnsi="Calibri"/>
          <w:b/>
          <w:bCs/>
          <w:color w:val="1F3864"/>
          <w:sz w:val="32"/>
          <w:szCs w:val="32"/>
        </w:rPr>
        <w:t xml:space="preserve">APPENDIX: Affordable Fix Plan for Outstanding Gaps</w:t>
      </w:r>
    </w:p>
    <w:p>
      <w:pPr>
        <w:spacing w:after="160"/>
      </w:pPr>
      <w:r>
        <w:rPr>
          <w:rFonts w:ascii="Calibri" w:cs="Calibri" w:eastAsia="Calibri" w:hAnsi="Calibri"/>
          <w:sz w:val="22"/>
          <w:szCs w:val="22"/>
        </w:rPr>
        <w:t xml:space="preserve">The following table identifies each gap between the current experimental results and the full thesis proposal requirements, with the most affordable and fastest fix for each. Total estimated cost: under $0.10.</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1580"/>
        <w:gridCol w:w="158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Gap</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Problem</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Most Affordable Fix</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Cost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RAGAS Evaluation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RAG values approximated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Run ragas library on your existing FAISS + KB — no API needed for some metrics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FREE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1 hour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Real GPT-4 Responses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BLEU=0.001 (templated 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Use gpt-4o-mini via your existing API key — generate 200 responses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30 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Fine-tuned BERT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RandomForest used as proxy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Fine-tune bert-base-uncased on Enron data — runs free on M4 Mac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FREE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2-3 hours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Locust Load 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Latency values approximated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Run locust against your existing FastAPI (main.py already exists in your project)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FREE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1 hour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Human Annotation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Tab 7 placeholder values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Rate 300 responses yourself across 3 sessions — or ask 2 classmates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FREE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3-4 hours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Multilingual Robustness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Random drop approximated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Use DeepL free tier (500k chars/month) to translate 100 Enron emails to DE/ES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FREE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1 hour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McNemar's Test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Not computed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3 lines of scipy code — add to run_real_experiments.py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FREE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15 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Synthetic GPT-4 Emails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Not generated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Generate 500 emails with gpt-4o-mini across 6 intents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~$0.03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000000"/>
                <w:sz w:val="19"/>
                <w:szCs w:val="19"/>
              </w:rPr>
              <w:t xml:space="preserve">30 min</w:t>
            </w:r>
          </w:p>
        </w:tc>
      </w:tr>
    </w:tbl>
    <w:p>
      <w:r>
        <w:t xml:space="preserve"/>
      </w:r>
    </w:p>
    <w:p>
      <w:pPr>
        <w:pStyle w:val="Heading2"/>
      </w:pPr>
      <w:r>
        <w:rPr>
          <w:rFonts w:ascii="Calibri" w:cs="Calibri" w:eastAsia="Calibri" w:hAnsi="Calibri"/>
          <w:b/>
          <w:bCs/>
          <w:color w:val="2E75B6"/>
          <w:sz w:val="26"/>
          <w:szCs w:val="26"/>
        </w:rPr>
        <w:t xml:space="preserve">Priority Fix Scripts</w:t>
      </w:r>
    </w:p>
    <w:p>
      <w:pPr>
        <w:pStyle w:val="Heading3"/>
      </w:pPr>
      <w:r>
        <w:rPr>
          <w:rFonts w:ascii="Calibri" w:cs="Calibri" w:eastAsia="Calibri" w:hAnsi="Calibri"/>
          <w:b/>
          <w:bCs/>
          <w:color w:val="2E75B6"/>
          <w:sz w:val="22"/>
          <w:szCs w:val="22"/>
        </w:rPr>
        <w:t xml:space="preserve">Fix 1 — Real RAGAS (FREE, 1 hour)</w:t>
      </w:r>
    </w:p>
    <w:p>
      <w:pPr>
        <w:spacing w:after="160"/>
      </w:pPr>
      <w:r>
        <w:rPr>
          <w:rFonts w:ascii="Calibri" w:cs="Calibri" w:eastAsia="Calibri" w:hAnsi="Calibri"/>
          <w:sz w:val="22"/>
          <w:szCs w:val="22"/>
        </w:rPr>
        <w:t xml:space="preserve">Install and run RAGAS on your existing knowledge base and FAISS index:</w:t>
      </w:r>
    </w:p>
    <w:p>
      <w:pPr>
        <w:spacing w:after="100"/>
      </w:pPr>
      <w:r>
        <w:rPr>
          <w:rFonts w:ascii="Courier New" w:cs="Courier New" w:eastAsia="Courier New" w:hAnsi="Courier New"/>
          <w:color w:val="CC0000"/>
          <w:sz w:val="20"/>
          <w:szCs w:val="20"/>
        </w:rPr>
        <w:t xml:space="preserve">pip install ragas datasets</w:t>
      </w:r>
    </w:p>
    <w:p>
      <w:pPr>
        <w:spacing w:after="160"/>
      </w:pPr>
      <w:r>
        <w:rPr>
          <w:rFonts w:ascii="Calibri" w:cs="Calibri" w:eastAsia="Calibri" w:hAnsi="Calibri"/>
          <w:sz w:val="22"/>
          <w:szCs w:val="22"/>
        </w:rPr>
        <w:t xml:space="preserve">Then add to your run_real_experiments.py:</w:t>
      </w:r>
    </w:p>
    <w:p>
      <w:pPr>
        <w:spacing w:after="200"/>
      </w:pPr>
      <w:r>
        <w:rPr>
          <w:rFonts w:ascii="Courier New" w:cs="Courier New" w:eastAsia="Courier New" w:hAnsi="Courier New"/>
          <w:color w:val="CC0000"/>
          <w:sz w:val="18"/>
          <w:szCs w:val="18"/>
        </w:rPr>
        <w:t xml:space="preserve">from ragas import evaluate
from ragas.metrics import faithfulness, answer_relevancy, context_precision
# Build questions/answers/contexts from your Enron test set
result = evaluate(dataset, metrics=[faithfulness, answer_relevancy, context_precision])
print(result)</w:t>
      </w:r>
    </w:p>
    <w:p>
      <w:pPr>
        <w:pStyle w:val="Heading3"/>
      </w:pPr>
      <w:r>
        <w:rPr>
          <w:rFonts w:ascii="Calibri" w:cs="Calibri" w:eastAsia="Calibri" w:hAnsi="Calibri"/>
          <w:b/>
          <w:bCs/>
          <w:color w:val="2E75B6"/>
          <w:sz w:val="22"/>
          <w:szCs w:val="22"/>
        </w:rPr>
        <w:t xml:space="preserve">Fix 2 — Real GPT-4 Responses (~$0.02, 30 min)</w:t>
      </w:r>
    </w:p>
    <w:p>
      <w:pPr>
        <w:spacing w:after="160"/>
      </w:pPr>
      <w:r>
        <w:rPr>
          <w:rFonts w:ascii="Calibri" w:cs="Calibri" w:eastAsia="Calibri" w:hAnsi="Calibri"/>
          <w:sz w:val="22"/>
          <w:szCs w:val="22"/>
        </w:rPr>
        <w:t xml:space="preserve">Your API key is already set. Generate 200 real responses using gpt-4o-mini:</w:t>
      </w:r>
    </w:p>
    <w:p>
      <w:pPr>
        <w:spacing w:after="200"/>
      </w:pPr>
      <w:r>
        <w:rPr>
          <w:rFonts w:ascii="Courier New" w:cs="Courier New" w:eastAsia="Courier New" w:hAnsi="Courier New"/>
          <w:color w:val="CC0000"/>
          <w:sz w:val="18"/>
          <w:szCs w:val="18"/>
        </w:rPr>
        <w:t xml:space="preserve">from openai import OpenAI
client = OpenAI()
responses = []
for email in enron_test_emails[:200]:
    r = client.chat.completions.create(
        model="gpt-4o-mini",
        messages=[{"role":"user","content": f"Reply to: {email}"}],
        max_tokens=150
    )
    responses.append(r.choices[0].message.content)
# Then compute real BLEU/ROUGE/BERTScore on these</w:t>
      </w:r>
    </w:p>
    <w:p>
      <w:pPr>
        <w:pStyle w:val="Heading3"/>
      </w:pPr>
      <w:r>
        <w:rPr>
          <w:rFonts w:ascii="Calibri" w:cs="Calibri" w:eastAsia="Calibri" w:hAnsi="Calibri"/>
          <w:b/>
          <w:bCs/>
          <w:color w:val="2E75B6"/>
          <w:sz w:val="22"/>
          <w:szCs w:val="22"/>
        </w:rPr>
        <w:t xml:space="preserve">Fix 3 — Real Fine-tuned BERT (FREE, 2-3 hours on M4)</w:t>
      </w:r>
    </w:p>
    <w:p>
      <w:pPr>
        <w:spacing w:after="200"/>
      </w:pPr>
      <w:r>
        <w:rPr>
          <w:rFonts w:ascii="Courier New" w:cs="Courier New" w:eastAsia="Courier New" w:hAnsi="Courier New"/>
          <w:color w:val="CC0000"/>
          <w:sz w:val="18"/>
          <w:szCs w:val="18"/>
        </w:rPr>
        <w:t xml:space="preserve">pip install transformers torch datasets
# Fine-tune bert-base-uncased on Enron intent labels
from transformers import BertForSequenceClassification, Trainer, TrainingArguments
model = BertForSequenceClassification.from_pretrained(
    "bert-base-uncased", num_labels=6)
# TrainingArguments + Trainer.train() — full script in experiments/finetune_bert.py</w:t>
      </w:r>
    </w:p>
    <w:p>
      <w:pPr>
        <w:pStyle w:val="Heading3"/>
      </w:pPr>
      <w:r>
        <w:rPr>
          <w:rFonts w:ascii="Calibri" w:cs="Calibri" w:eastAsia="Calibri" w:hAnsi="Calibri"/>
          <w:b/>
          <w:bCs/>
          <w:color w:val="2E75B6"/>
          <w:sz w:val="22"/>
          <w:szCs w:val="22"/>
        </w:rPr>
        <w:t xml:space="preserve">Fix 4 — Locust Load Test (FREE, 1 hour)</w:t>
      </w:r>
    </w:p>
    <w:p>
      <w:pPr>
        <w:spacing w:after="160"/>
      </w:pPr>
      <w:r>
        <w:rPr>
          <w:rFonts w:ascii="Calibri" w:cs="Calibri" w:eastAsia="Calibri" w:hAnsi="Calibri"/>
          <w:sz w:val="22"/>
          <w:szCs w:val="22"/>
        </w:rPr>
        <w:t xml:space="preserve">Your FastAPI is already in main.py. Just run:</w:t>
      </w:r>
    </w:p>
    <w:p>
      <w:pPr>
        <w:spacing w:after="200"/>
      </w:pPr>
      <w:r>
        <w:rPr>
          <w:rFonts w:ascii="Courier New" w:cs="Courier New" w:eastAsia="Courier New" w:hAnsi="Courier New"/>
          <w:color w:val="CC0000"/>
          <w:sz w:val="18"/>
          <w:szCs w:val="18"/>
        </w:rPr>
        <w:t xml:space="preserve">pip install locust
# Start your FastAPI first:
uvicorn main:app --host 0.0.0.0 --port 8000
# Then run Locust:
locust -f experiments/locust_test.py --headless -u 100 -r 10 --run-time 60s
# locust_test.py content:
from locust import HttpUser, task
class EmailUser(HttpUser):
    @task
    def send_email(self):
        self.client.post("/process", json={"email": "Test email content"})</w:t>
      </w:r>
    </w:p>
    <w:p>
      <w:pPr>
        <w:pStyle w:val="Heading3"/>
      </w:pPr>
      <w:r>
        <w:rPr>
          <w:rFonts w:ascii="Calibri" w:cs="Calibri" w:eastAsia="Calibri" w:hAnsi="Calibri"/>
          <w:b/>
          <w:bCs/>
          <w:color w:val="2E75B6"/>
          <w:sz w:val="22"/>
          <w:szCs w:val="22"/>
        </w:rPr>
        <w:t xml:space="preserve">Fix 5 — McNemar's Test (FREE, 15 min)</w:t>
      </w:r>
    </w:p>
    <w:p>
      <w:pPr>
        <w:spacing w:after="200"/>
      </w:pPr>
      <w:r>
        <w:rPr>
          <w:rFonts w:ascii="Courier New" w:cs="Courier New" w:eastAsia="Courier New" w:hAnsi="Courier New"/>
          <w:color w:val="CC0000"/>
          <w:sz w:val="18"/>
          <w:szCs w:val="18"/>
        </w:rPr>
        <w:t xml:space="preserve">from statsmodels.stats.contingency_tables import mcnemar
import numpy as np
# Compare proposed vs BERT predictions
correct_proposed = (y_pred_proposed == y_test)
correct_bert     = (y_pred_bert == y_test)
# Build contingency table
b = np.sum(correct_proposed &amp; ~correct_bert)  # proposed right, BERT wrong
c = np.sum(~correct_proposed &amp; correct_bert)  # proposed wrong, BERT right
table = [[0, b], [c, 0]]
result = mcnemar(table, exact=True)
print(f"McNemar p-value: {result.pvalue:.4f}")</w:t>
      </w:r>
    </w:p>
    <w:p>
      <w:pPr>
        <w:pStyle w:val="Heading3"/>
      </w:pPr>
      <w:r>
        <w:rPr>
          <w:rFonts w:ascii="Calibri" w:cs="Calibri" w:eastAsia="Calibri" w:hAnsi="Calibri"/>
          <w:b/>
          <w:bCs/>
          <w:color w:val="2E75B6"/>
          <w:sz w:val="22"/>
          <w:szCs w:val="22"/>
        </w:rPr>
        <w:t xml:space="preserve">Fix 6 — Multilingual Test with DeepL (FREE tier, 1 hour)</w:t>
      </w:r>
    </w:p>
    <w:p>
      <w:pPr>
        <w:spacing w:after="160"/>
      </w:pPr>
      <w:r>
        <w:rPr>
          <w:rFonts w:ascii="Calibri" w:cs="Calibri" w:eastAsia="Calibri" w:hAnsi="Calibri"/>
          <w:sz w:val="22"/>
          <w:szCs w:val="22"/>
        </w:rPr>
        <w:t xml:space="preserve">DeepL free tier: 500,000 characters/month — enough for 100 Enron emails.</w:t>
      </w:r>
    </w:p>
    <w:p>
      <w:pPr>
        <w:spacing w:after="200"/>
      </w:pPr>
      <w:r>
        <w:rPr>
          <w:rFonts w:ascii="Courier New" w:cs="Courier New" w:eastAsia="Courier New" w:hAnsi="Courier New"/>
          <w:color w:val="CC0000"/>
          <w:sz w:val="18"/>
          <w:szCs w:val="18"/>
        </w:rPr>
        <w:t xml:space="preserve">pip install deepl
import deepl
translator = deepl.Translator("YOUR_DEEPL_FREE_KEY")  # free at deepl.com/pro
en_emails = enron_df['text'].head(100).tolist()
de_emails = [translator.translate_text(e, target_lang="DE").text for e in en_emails]
es_emails = [translator.translate_text(e, target_lang="ES").text for e in en_emails]
# Then evaluate your classifier on de_emails and es_emails</w:t>
      </w:r>
    </w:p>
    <w:p>
      <w:pPr>
        <w:pStyle w:val="Heading3"/>
      </w:pPr>
      <w:r>
        <w:rPr>
          <w:rFonts w:ascii="Calibri" w:cs="Calibri" w:eastAsia="Calibri" w:hAnsi="Calibri"/>
          <w:b/>
          <w:bCs/>
          <w:color w:val="2E75B6"/>
          <w:sz w:val="22"/>
          <w:szCs w:val="22"/>
        </w:rPr>
        <w:t xml:space="preserve">Fix 7 — Synthetic Emails with gpt-4o-mini (~$0.03, 30 min)</w:t>
      </w:r>
    </w:p>
    <w:p>
      <w:pPr>
        <w:spacing w:after="200"/>
      </w:pPr>
      <w:r>
        <w:rPr>
          <w:rFonts w:ascii="Courier New" w:cs="Courier New" w:eastAsia="Courier New" w:hAnsi="Courier New"/>
          <w:color w:val="CC0000"/>
          <w:sz w:val="18"/>
          <w:szCs w:val="18"/>
        </w:rPr>
        <w:t xml:space="preserve">intents = ["billing","technical","refund","account","shipping","general"]
synth_emails = []
for intent in intents:
    for i in range(100):  # 100 per intent = 600 total
        r = client.chat.completions.create(
            model="gpt-4o-mini",
            messages=[{"role":"user","content":
                f"Write a realistic customer support email about {intent}. "
                f"Be specific, 50-100 words. No subject line."}],
            max_tokens=150
        )
        synth_emails.append({"text": r.choices[0].message.content, "intent": intent})
pd.DataFrame(synth_emails).to_csv("data/synthetic_emails.csv", index=False)</w:t>
      </w:r>
    </w:p>
    <w:p>
      <w:pPr>
        <w:pStyle w:val="Heading2"/>
      </w:pPr>
      <w:r>
        <w:rPr>
          <w:rFonts w:ascii="Calibri" w:cs="Calibri" w:eastAsia="Calibri" w:hAnsi="Calibri"/>
          <w:b/>
          <w:bCs/>
          <w:color w:val="2E75B6"/>
          <w:sz w:val="26"/>
          <w:szCs w:val="26"/>
        </w:rPr>
        <w:t xml:space="preserve">Total Cost Summary</w:t>
      </w:r>
    </w:p>
    <w:p>
      <w:pPr>
        <w:spacing w:after="100"/>
      </w:pPr>
      <w:r>
        <w:rPr>
          <w:rFonts w:ascii="Calibri" w:cs="Calibri" w:eastAsia="Calibri" w:hAnsi="Calibri"/>
          <w:sz w:val="22"/>
          <w:szCs w:val="22"/>
        </w:rPr>
        <w:t xml:space="preserve">• RAGAS evaluation: FREE</w:t>
      </w:r>
    </w:p>
    <w:p>
      <w:pPr>
        <w:spacing w:after="100"/>
      </w:pPr>
      <w:r>
        <w:rPr>
          <w:rFonts w:ascii="Calibri" w:cs="Calibri" w:eastAsia="Calibri" w:hAnsi="Calibri"/>
          <w:sz w:val="22"/>
          <w:szCs w:val="22"/>
        </w:rPr>
        <w:t xml:space="preserve">• Real GPT-4 responses (200 emails): ~$0.02</w:t>
      </w:r>
    </w:p>
    <w:p>
      <w:pPr>
        <w:spacing w:after="100"/>
      </w:pPr>
      <w:r>
        <w:rPr>
          <w:rFonts w:ascii="Calibri" w:cs="Calibri" w:eastAsia="Calibri" w:hAnsi="Calibri"/>
          <w:sz w:val="22"/>
          <w:szCs w:val="22"/>
        </w:rPr>
        <w:t xml:space="preserve">• Fine-tuned BERT on M4: FREE (runs locally)</w:t>
      </w:r>
    </w:p>
    <w:p>
      <w:pPr>
        <w:spacing w:after="100"/>
      </w:pPr>
      <w:r>
        <w:rPr>
          <w:rFonts w:ascii="Calibri" w:cs="Calibri" w:eastAsia="Calibri" w:hAnsi="Calibri"/>
          <w:sz w:val="22"/>
          <w:szCs w:val="22"/>
        </w:rPr>
        <w:t xml:space="preserve">• Locust load test: FREE</w:t>
      </w:r>
    </w:p>
    <w:p>
      <w:pPr>
        <w:spacing w:after="100"/>
      </w:pPr>
      <w:r>
        <w:rPr>
          <w:rFonts w:ascii="Calibri" w:cs="Calibri" w:eastAsia="Calibri" w:hAnsi="Calibri"/>
          <w:sz w:val="22"/>
          <w:szCs w:val="22"/>
        </w:rPr>
        <w:t xml:space="preserve">• Human annotation (self + 2 classmates): FREE</w:t>
      </w:r>
    </w:p>
    <w:p>
      <w:pPr>
        <w:spacing w:after="100"/>
      </w:pPr>
      <w:r>
        <w:rPr>
          <w:rFonts w:ascii="Calibri" w:cs="Calibri" w:eastAsia="Calibri" w:hAnsi="Calibri"/>
          <w:sz w:val="22"/>
          <w:szCs w:val="22"/>
        </w:rPr>
        <w:t xml:space="preserve">• DeepL multilingual (free tier): FREE</w:t>
      </w:r>
    </w:p>
    <w:p>
      <w:pPr>
        <w:spacing w:after="100"/>
      </w:pPr>
      <w:r>
        <w:rPr>
          <w:rFonts w:ascii="Calibri" w:cs="Calibri" w:eastAsia="Calibri" w:hAnsi="Calibri"/>
          <w:sz w:val="22"/>
          <w:szCs w:val="22"/>
        </w:rPr>
        <w:t xml:space="preserve">• McNemar's test (scipy): FREE</w:t>
      </w:r>
    </w:p>
    <w:p>
      <w:pPr>
        <w:spacing w:after="400"/>
      </w:pPr>
      <w:r>
        <w:rPr>
          <w:rFonts w:ascii="Calibri" w:cs="Calibri" w:eastAsia="Calibri" w:hAnsi="Calibri"/>
          <w:sz w:val="22"/>
          <w:szCs w:val="22"/>
        </w:rPr>
        <w:t xml:space="preserve">• Synthetic emails (600 via gpt-4o-mini): ~$0.03</w:t>
      </w:r>
    </w:p>
    <w:p>
      <w:pPr>
        <w:spacing w:after="200"/>
      </w:pPr>
      <w:r>
        <w:rPr>
          <w:rFonts w:ascii="Calibri" w:cs="Calibri" w:eastAsia="Calibri" w:hAnsi="Calibri"/>
          <w:b/>
          <w:bCs/>
          <w:sz w:val="24"/>
          <w:szCs w:val="24"/>
        </w:rPr>
        <w:t xml:space="preserve">TOTAL ESTIMATED COST: </w:t>
      </w:r>
      <w:r>
        <w:rPr>
          <w:rFonts w:ascii="Calibri" w:cs="Calibri" w:eastAsia="Calibri" w:hAnsi="Calibri"/>
          <w:b/>
          <w:bCs/>
          <w:color w:val="1F7A1F"/>
          <w:sz w:val="24"/>
          <w:szCs w:val="24"/>
        </w:rPr>
        <w:t xml:space="preserve">~$0.05 (five cents)</w:t>
      </w:r>
    </w:p>
    <w:p>
      <w:pPr>
        <w:spacing w:after="200"/>
      </w:pPr>
      <w:r>
        <w:rPr>
          <w:rFonts w:ascii="Calibri" w:cs="Calibri" w:eastAsia="Calibri" w:hAnsi="Calibri"/>
          <w:b/>
          <w:bCs/>
          <w:sz w:val="24"/>
          <w:szCs w:val="24"/>
        </w:rPr>
        <w:t xml:space="preserve">TOTAL ESTIMATED TIME: </w:t>
      </w:r>
      <w:r>
        <w:rPr>
          <w:rFonts w:ascii="Calibri" w:cs="Calibri" w:eastAsia="Calibri" w:hAnsi="Calibri"/>
          <w:b/>
          <w:bCs/>
          <w:color w:val="1F7A1F"/>
          <w:sz w:val="24"/>
          <w:szCs w:val="24"/>
        </w:rPr>
        <w:t xml:space="preserve">~8-10 hours across 2-3 days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pPr>
      <w:spacing w:after="140" w:before="280"/>
      <w:outlineLvl w:val="1"/>
    </w:pPr>
    <w:rPr>
      <w:rFonts w:ascii="Calibri" w:cs="Calibri" w:eastAsia="Calibri" w:hAnsi="Calibri"/>
      <w:b/>
      <w:bCs/>
      <w:color w:val="2E75B6"/>
      <w:sz w:val="26"/>
      <w:szCs w:val="26"/>
    </w:rPr>
  </w:style>
  <w:style w:type="paragraph" w:styleId="Heading3">
    <w:name w:val="Heading 3"/>
    <w:basedOn w:val="Normal"/>
    <w:next w:val="Normal"/>
    <w:pPr>
      <w:spacing w:after="100" w:before="200"/>
      <w:outlineLvl w:val="2"/>
    </w:pPr>
    <w:rPr>
      <w:rFonts w:ascii="Calibri" w:cs="Calibri" w:eastAsia="Calibri" w:hAnsi="Calibri"/>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2026-04-22T11:49:30.524Z</dcterms:created>
  <dcterms:modified xsi:type="dcterms:W3CDTF">2026-04-22T11:49:30.525Z</dcterms:modified>
</cp:coreProperties>
</file>

<file path=docProps/custom.xml><?xml version="1.0" encoding="utf-8"?>
<Properties xmlns="http://schemas.openxmlformats.org/officeDocument/2006/custom-properties" xmlns:vt="http://schemas.openxmlformats.org/officeDocument/2006/docPropsVTypes"/>
</file>