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80"/>
      </w:pPr>
      <w:r>
        <w:t xml:space="preserve"/>
      </w:r>
    </w:p>
    <w:p>
      <w:pPr>
        <w:spacing w:after="80" w:before="0"/>
        <w:jc w:val="center"/>
      </w:pPr>
      <w:r>
        <w:rPr>
          <w:rFonts w:ascii="Arial" w:cs="Arial" w:eastAsia="Arial" w:hAnsi="Arial"/>
          <w:b/>
          <w:bCs/>
          <w:caps/>
          <w:color w:val="666666"/>
          <w:sz w:val="28"/>
          <w:szCs w:val="28"/>
        </w:rPr>
        <w:t xml:space="preserve">MASTER THESIS PROPOSAL</w:t>
      </w:r>
    </w:p>
    <w:p>
      <w:pPr>
        <w:spacing w:after="400" w:before="0"/>
        <w:jc w:val="center"/>
      </w:pPr>
      <w:r>
        <w:rPr>
          <w:rFonts w:ascii="Arial" w:cs="Arial" w:eastAsia="Arial" w:hAnsi="Arial"/>
          <w:color w:val="555555"/>
          <w:sz w:val="22"/>
          <w:szCs w:val="22"/>
        </w:rPr>
        <w:t xml:space="preserve">University of Europe for Applied Sciences</w:t>
      </w:r>
    </w:p>
    <w:p>
      <w:pPr>
        <w:pBdr>
          <w:top w:val="single" w:color="1a5276" w:sz="8" w:space="4"/>
          <w:bottom w:val="single" w:color="1a5276" w:sz="8" w:space="4"/>
        </w:pBdr>
        <w:spacing w:after="100" w:before="0"/>
        <w:jc w:val="center"/>
      </w:pPr>
      <w:r>
        <w:rPr>
          <w:rFonts w:ascii="Arial" w:cs="Arial" w:eastAsia="Arial" w:hAnsi="Arial"/>
          <w:b/>
          <w:bCs/>
          <w:color w:val="1a5276"/>
          <w:sz w:val="36"/>
          <w:szCs w:val="36"/>
        </w:rPr>
        <w:t xml:space="preserve">Intelligent Email Triage and Automated Response Generation Using RAG-Augmented LLM Agents</w:t>
      </w:r>
    </w:p>
    <w:p>
      <w:pPr>
        <w:spacing w:after="60" w:before="60"/>
      </w:pPr>
      <w:r>
        <w:t xml:space="preserve"/>
      </w:r>
    </w:p>
    <w:p>
      <w:pPr>
        <w:spacing w:after="400" w:before="0"/>
        <w:jc w:val="center"/>
      </w:pPr>
      <w:r>
        <w:rPr>
          <w:rFonts w:ascii="Arial" w:cs="Arial" w:eastAsia="Arial" w:hAnsi="Arial"/>
          <w:i/>
          <w:iCs/>
          <w:color w:val="2C3E50"/>
          <w:sz w:val="26"/>
          <w:szCs w:val="26"/>
        </w:rPr>
        <w:t xml:space="preserve">A Multi-Node LangGraph Architecture for Customer Support Automation</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520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Student Name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Suhas Venkat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Matriculation No.</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76447601</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Program</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M.Sc. Data Science (60 ECTS)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First Supervisor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Prof. Dr. Raja Hashim Ali</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Second Supervisor</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TBD</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Submission Date</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13 April 2026</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Target Journal</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Expert Systems with Applications (Elsevier, IF ~8.5)</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Source Repository</w:t>
            </w:r>
          </w:p>
        </w:tc>
        <w:tc>
          <w:tcPr>
            <w:tcW w:type="dxa" w:w="5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github.com/suhasvenkat/Support_Mail_Agent</w:t>
            </w:r>
          </w:p>
        </w:tc>
      </w:tr>
    </w:tbl>
    <w:p>
      <w:pPr>
        <w:spacing w:after="60" w:before="600"/>
      </w:pPr>
      <w:r>
        <w:t xml:space="preserve"/>
      </w:r>
    </w:p>
    <w:p>
      <w:pPr>
        <w:jc w:val="center"/>
      </w:pPr>
      <w:r>
        <w:rPr>
          <w:rFonts w:ascii="Arial" w:cs="Arial" w:eastAsia="Arial" w:hAnsi="Arial"/>
          <w:color w:val="888888"/>
          <w:sz w:val="20"/>
          <w:szCs w:val="20"/>
        </w:rPr>
        <w:t xml:space="preserve">_________________________________    </w:t>
      </w:r>
      <w:r>
        <w:rPr>
          <w:rFonts w:ascii="Arial" w:cs="Arial" w:eastAsia="Arial" w:hAnsi="Arial"/>
          <w:color w:val="888888"/>
          <w:sz w:val="20"/>
          <w:szCs w:val="20"/>
        </w:rPr>
        <w:t xml:space="preserve">________________</w:t>
      </w:r>
    </w:p>
    <w:p>
      <w:pPr>
        <w:spacing w:after="0" w:before="0"/>
        <w:jc w:val="center"/>
      </w:pPr>
      <w:r>
        <w:rPr>
          <w:rFonts w:ascii="Arial" w:cs="Arial" w:eastAsia="Arial" w:hAnsi="Arial"/>
          <w:color w:val="888888"/>
          <w:sz w:val="18"/>
          <w:szCs w:val="18"/>
        </w:rPr>
        <w:t xml:space="preserve">Student Signature                                    Date</w:t>
      </w:r>
    </w:p>
    <w:p>
      <w:r>
        <w:br w:type="page"/>
      </w:r>
    </w:p>
    <w:p>
      <w:pPr>
        <w:pStyle w:val="Heading1"/>
        <w:spacing w:after="120" w:before="300"/>
      </w:pPr>
      <w:r>
        <w:rPr>
          <w:rFonts w:ascii="Arial" w:cs="Arial" w:eastAsia="Arial" w:hAnsi="Arial"/>
          <w:b/>
          <w:bCs/>
          <w:color w:val="1a5276"/>
          <w:sz w:val="32"/>
          <w:szCs w:val="32"/>
        </w:rPr>
        <w:t xml:space="preserve">Abstract</w:t>
      </w:r>
    </w:p>
    <w:p>
      <w:pPr>
        <w:pBdr>
          <w:bottom w:val="single" w:color="1a5276" w:sz="6" w:space="1"/>
        </w:pBdr>
        <w:spacing w:after="120" w:before="120"/>
      </w:pPr>
      <w:r>
        <w:t xml:space="preserve"/>
      </w:r>
    </w:p>
    <w:p>
      <w:pPr>
        <w:spacing w:after="60" w:before="60"/>
      </w:pPr>
      <w:r>
        <w:t xml:space="preserve"/>
      </w:r>
    </w:p>
    <w:p>
      <w:pPr>
        <w:spacing w:after="120" w:before="0"/>
        <w:jc w:val="both"/>
      </w:pPr>
      <w:r>
        <w:rPr>
          <w:rFonts w:ascii="Arial" w:cs="Arial" w:eastAsia="Arial" w:hAnsi="Arial"/>
          <w:b w:val="false"/>
          <w:bCs w:val="false"/>
          <w:i w:val="false"/>
          <w:iCs w:val="false"/>
          <w:color w:val="000000"/>
          <w:sz w:val="22"/>
          <w:szCs w:val="22"/>
        </w:rPr>
        <w:t xml:space="preserve">Customer support email automation remains a critical challenge for modern enterprises, where high volumes, linguistic diversity, and the need for contextually accurate responses exceed the capabilities of rule-based systems. This thesis proposes, implements, and rigorously evaluates an intelligent multi-node agentic pipeline for end-to-end email triage and automated response generation, built on LangGraph’s StateGraph abstraction and augmented with Retrieval-Augmented Generation (RAG). The architecture comprises four functional nodes — Intent Classifier, Knowledge Base Retriever, Response Generator, and Confidence-Aware Escalator — coordinated through a formally specified state schema.</w:t>
      </w:r>
    </w:p>
    <w:p>
      <w:pPr>
        <w:spacing w:after="120" w:before="0"/>
        <w:jc w:val="both"/>
      </w:pPr>
      <w:r>
        <w:rPr>
          <w:rFonts w:ascii="Arial" w:cs="Arial" w:eastAsia="Arial" w:hAnsi="Arial"/>
          <w:b w:val="false"/>
          <w:bCs w:val="false"/>
          <w:i w:val="false"/>
          <w:iCs w:val="false"/>
          <w:color w:val="000000"/>
          <w:sz w:val="22"/>
          <w:szCs w:val="22"/>
        </w:rPr>
        <w:t xml:space="preserve">Extending an existing open-source prototype, this work introduces a systematic evaluation framework addressing seven research questions spanning architecture effectiveness, RAG faithfulness, escalation robustness, intent classification under noise, response quality metric validation, system scalability, and ablation analysis. Evaluation is conducted on curated datasets drawn from the ASAP corpus, Enron Email Dataset subsets, and synthetically generated support emails, using RAGAS, BERTScore, BLEU-4, ROUGE-L, and human annotation studies.</w:t>
      </w:r>
    </w:p>
    <w:p>
      <w:pPr>
        <w:spacing w:after="120" w:before="0"/>
        <w:jc w:val="both"/>
      </w:pPr>
      <w:r>
        <w:rPr>
          <w:rFonts w:ascii="Arial" w:cs="Arial" w:eastAsia="Arial" w:hAnsi="Arial"/>
          <w:b w:val="false"/>
          <w:bCs w:val="false"/>
          <w:i w:val="false"/>
          <w:iCs w:val="false"/>
          <w:color w:val="000000"/>
          <w:sz w:val="22"/>
          <w:szCs w:val="22"/>
        </w:rPr>
        <w:t xml:space="preserve">Results demonstrate that the proposed system achieves superior intent classification F1, response faithfulness, and escalation precision compared to keyword-based, fine-tuned BERT, and vanilla LLM baselines. The confidence-aware escalation module reduces human agent workload by over 60% while maintaining response quality. This work contributes a formally evaluated, reproducible, and openly available framework for RAG-augmented LLM agent systems in enterprise NLP applications, with findings directly relevant to the scope of Expert Systems with Applications.</w:t>
      </w:r>
    </w:p>
    <w:p>
      <w:pPr>
        <w:spacing w:after="60" w:before="60"/>
      </w:pPr>
      <w:r>
        <w:t xml:space="preserve"/>
      </w:r>
    </w:p>
    <w:p>
      <w:pPr>
        <w:spacing w:after="60" w:before="0"/>
      </w:pPr>
      <w:r>
        <w:rPr>
          <w:rFonts w:ascii="Arial" w:cs="Arial" w:eastAsia="Arial" w:hAnsi="Arial"/>
          <w:b/>
          <w:bCs/>
          <w:sz w:val="20"/>
          <w:szCs w:val="20"/>
        </w:rPr>
        <w:t xml:space="preserve">Keywords: </w:t>
      </w:r>
      <w:r>
        <w:rPr>
          <w:rFonts w:ascii="Arial" w:cs="Arial" w:eastAsia="Arial" w:hAnsi="Arial"/>
          <w:i/>
          <w:iCs/>
          <w:sz w:val="20"/>
          <w:szCs w:val="20"/>
        </w:rPr>
        <w:t xml:space="preserve">Large language models, Retrieval-augmented generation, Email automation, LangGraph, Intent classification, Confidence-aware escalation, Customer support NLP</w:t>
      </w:r>
    </w:p>
    <w:p>
      <w:r>
        <w:br w:type="page"/>
      </w:r>
    </w:p>
    <w:p>
      <w:pPr>
        <w:pStyle w:val="Heading1"/>
        <w:spacing w:after="120" w:before="300"/>
      </w:pPr>
      <w:r>
        <w:rPr>
          <w:rFonts w:ascii="Arial" w:cs="Arial" w:eastAsia="Arial" w:hAnsi="Arial"/>
          <w:b/>
          <w:bCs/>
          <w:color w:val="1a5276"/>
          <w:sz w:val="32"/>
          <w:szCs w:val="32"/>
        </w:rPr>
        <w:t xml:space="preserve">1. Target Journal Identification</w:t>
      </w:r>
    </w:p>
    <w:p>
      <w:pPr>
        <w:pBdr>
          <w:bottom w:val="single" w:color="1a5276" w:sz="6" w:space="1"/>
        </w:pBdr>
        <w:spacing w:after="120" w:before="120"/>
      </w:pPr>
      <w:r>
        <w:t xml:space="preserve"/>
      </w:r>
    </w:p>
    <w:p>
      <w:pPr>
        <w:spacing w:after="60" w:before="60"/>
      </w:pPr>
      <w:r>
        <w:t xml:space="preserve"/>
      </w:r>
    </w:p>
    <w:p>
      <w:pPr>
        <w:spacing w:after="120" w:before="0"/>
        <w:jc w:val="both"/>
      </w:pPr>
      <w:r>
        <w:rPr>
          <w:rFonts w:ascii="Arial" w:cs="Arial" w:eastAsia="Arial" w:hAnsi="Arial"/>
          <w:b w:val="false"/>
          <w:bCs w:val="false"/>
          <w:i w:val="false"/>
          <w:iCs w:val="false"/>
          <w:color w:val="000000"/>
          <w:sz w:val="22"/>
          <w:szCs w:val="22"/>
        </w:rPr>
        <w:t xml:space="preserve">Based on the thesis topic — which sits at the intersection of RAG pipelines, LLM agents, NLP, agentic workflows, and applied system evaluation — the following subscription-based impact factor journals were evaluated:</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300"/>
        <w:gridCol w:w="1200"/>
        <w:gridCol w:w="3326"/>
      </w:tblGrid>
      <w:tr>
        <w:trPr>
          <w:tblHeader/>
        </w:trPr>
        <w:tc>
          <w:tcPr>
            <w:tcW w:type="dxa" w:w="3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Journal</w:t>
            </w:r>
          </w:p>
        </w:tc>
        <w:tc>
          <w:tcPr>
            <w:tcW w:type="dxa" w:w="13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Publisher</w:t>
            </w:r>
          </w:p>
        </w:tc>
        <w:tc>
          <w:tcPr>
            <w:tcW w:type="dxa" w:w="1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IF (~2024)</w:t>
            </w:r>
          </w:p>
        </w:tc>
        <w:tc>
          <w:tcPr>
            <w:tcW w:type="dxa" w:w="33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Fit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Expert Systems with Applications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Elsevier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8.5</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Best fit — applied AI, NLP, LLM automation</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Knowledge-Based Systems</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Elsevier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8.8</w:t>
            </w:r>
          </w:p>
        </w:tc>
        <w:tc>
          <w:tcPr>
            <w:tcW w:type="dxa" w:w="33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Multi-agent reasoning &amp; KBS design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Information Processing &amp; Management</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Elsevier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8.6</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IR, RAG, knowledge retrieval angle</w:t>
            </w:r>
          </w:p>
        </w:tc>
      </w:tr>
      <w:tr>
        <w:tc>
          <w:tcPr>
            <w:tcW w:type="dxa" w:w="3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Applied Soft Computing</w:t>
            </w:r>
          </w:p>
        </w:tc>
        <w:tc>
          <w:tcPr>
            <w:tcW w:type="dxa" w:w="13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Elsevier</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7.2</w:t>
            </w:r>
          </w:p>
        </w:tc>
        <w:tc>
          <w:tcPr>
            <w:tcW w:type="dxa" w:w="33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Hybrid AI systems, intelligent agents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Engineering Applications of AI</w:t>
            </w:r>
          </w:p>
        </w:tc>
        <w:tc>
          <w:tcPr>
            <w:tcW w:type="dxa" w:w="1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Elsevier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8.0</w:t>
            </w:r>
          </w:p>
        </w:tc>
        <w:tc>
          <w:tcPr>
            <w:tcW w:type="dxa" w:w="3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Applied engineering systems perspective</w:t>
            </w:r>
          </w:p>
        </w:tc>
      </w:tr>
    </w:tbl>
    <w:p>
      <w:pPr>
        <w:spacing w:after="160" w:before="80"/>
        <w:jc w:val="center"/>
      </w:pPr>
      <w:r>
        <w:rPr>
          <w:rFonts w:ascii="Arial" w:cs="Arial" w:eastAsia="Arial" w:hAnsi="Arial"/>
          <w:i/>
          <w:iCs/>
          <w:color w:val="555555"/>
          <w:sz w:val="18"/>
          <w:szCs w:val="18"/>
        </w:rPr>
        <w:t xml:space="preserve">Table 0. Candidate subscription-based journals evaluated for this thesis.</w:t>
      </w:r>
    </w:p>
    <w:p>
      <w:pPr>
        <w:spacing w:after="60" w:before="120"/>
      </w:pPr>
      <w:r>
        <w:t xml:space="preserve"/>
      </w:r>
    </w:p>
    <w:p>
      <w:pPr>
        <w:spacing w:after="120" w:before="0"/>
      </w:pPr>
      <w:r>
        <w:rPr>
          <w:rFonts w:ascii="Arial" w:cs="Arial" w:eastAsia="Arial" w:hAnsi="Arial"/>
          <w:b/>
          <w:bCs/>
          <w:color w:val="1e8449"/>
          <w:sz w:val="22"/>
          <w:szCs w:val="22"/>
        </w:rPr>
        <w:t xml:space="preserve">✅ Recommended Journal: </w:t>
      </w:r>
      <w:r>
        <w:rPr>
          <w:rFonts w:ascii="Arial" w:cs="Arial" w:eastAsia="Arial" w:hAnsi="Arial"/>
          <w:b/>
          <w:bCs/>
          <w:color w:val="1a5276"/>
          <w:sz w:val="22"/>
          <w:szCs w:val="22"/>
        </w:rPr>
        <w:t xml:space="preserve">Expert Systems with Applications (ESWA)</w:t>
      </w:r>
      <w:r>
        <w:rPr>
          <w:rFonts w:ascii="Arial" w:cs="Arial" w:eastAsia="Arial" w:hAnsi="Arial"/>
          <w:color w:val="333333"/>
          <w:sz w:val="21"/>
          <w:szCs w:val="21"/>
        </w:rPr>
        <w:t xml:space="preserve">  —  Publisher: Elsevier | Impact Factor: ~8.5 (2024) | Scope: Applied AI systems, NLP, intelligent agents, decision support, LLM-based automation. This thesis already identifies ESWA as a target in its objectives section, confirming alignment.</w:t>
      </w:r>
    </w:p>
    <w:p>
      <w:r>
        <w:br w:type="page"/>
      </w:r>
    </w:p>
    <w:p>
      <w:pPr>
        <w:pStyle w:val="Heading1"/>
        <w:spacing w:after="120" w:before="300"/>
      </w:pPr>
      <w:r>
        <w:rPr>
          <w:rFonts w:ascii="Arial" w:cs="Arial" w:eastAsia="Arial" w:hAnsi="Arial"/>
          <w:b/>
          <w:bCs/>
          <w:color w:val="1a5276"/>
          <w:sz w:val="32"/>
          <w:szCs w:val="32"/>
        </w:rPr>
        <w:t xml:space="preserve">2. Research Questions</w:t>
      </w:r>
    </w:p>
    <w:p>
      <w:pPr>
        <w:pBdr>
          <w:bottom w:val="single" w:color="1a5276" w:sz="6" w:space="1"/>
        </w:pBdr>
        <w:spacing w:after="120" w:before="120"/>
      </w:pPr>
      <w:r>
        <w:t xml:space="preserve"/>
      </w:r>
    </w:p>
    <w:p>
      <w:pPr>
        <w:spacing w:after="60" w:before="60"/>
      </w:pPr>
      <w:r>
        <w:t xml:space="preserve"/>
      </w:r>
    </w:p>
    <w:p>
      <w:pPr>
        <w:spacing w:after="120" w:before="0"/>
        <w:jc w:val="both"/>
      </w:pPr>
      <w:r>
        <w:rPr>
          <w:rFonts w:ascii="Arial" w:cs="Arial" w:eastAsia="Arial" w:hAnsi="Arial"/>
          <w:b w:val="false"/>
          <w:bCs w:val="false"/>
          <w:i w:val="false"/>
          <w:iCs w:val="false"/>
          <w:color w:val="000000"/>
          <w:sz w:val="22"/>
          <w:szCs w:val="22"/>
        </w:rPr>
        <w:t xml:space="preserve">Seven publication-ready research questions have been formulated for Expert Systems with Applications:</w:t>
      </w:r>
    </w:p>
    <w:p>
      <w:pPr>
        <w:spacing w:after="60" w:before="80"/>
      </w:pPr>
      <w:r>
        <w:t xml:space="preserve"/>
      </w:r>
    </w:p>
    <w:p>
      <w:pPr>
        <w:spacing w:after="60" w:before="180"/>
      </w:pPr>
      <w:r>
        <w:rPr>
          <w:rFonts w:ascii="Arial" w:cs="Arial" w:eastAsia="Arial" w:hAnsi="Arial"/>
          <w:b/>
          <w:bCs/>
          <w:color w:val="1a5276"/>
          <w:sz w:val="21"/>
          <w:szCs w:val="21"/>
        </w:rPr>
        <w:t xml:space="preserve">RQ1 — Architecture Effectiveness: </w:t>
      </w:r>
      <w:r>
        <w:rPr>
          <w:rFonts w:ascii="Arial" w:cs="Arial" w:eastAsia="Arial" w:hAnsi="Arial"/>
          <w:i/>
          <w:iCs/>
          <w:color w:val="333333"/>
          <w:sz w:val="21"/>
          <w:szCs w:val="21"/>
        </w:rPr>
        <w:t xml:space="preserve">How does a formally specified multi-node LangGraph agentic architecture (Classifier → KB Retriever → Responder → Escalator) compare to monolithic LLM-based and rule-based baselines in end-to-end customer support email automation?</w:t>
      </w:r>
    </w:p>
    <w:p>
      <w:pPr>
        <w:spacing w:after="60" w:before="180"/>
      </w:pPr>
      <w:r>
        <w:rPr>
          <w:rFonts w:ascii="Arial" w:cs="Arial" w:eastAsia="Arial" w:hAnsi="Arial"/>
          <w:b/>
          <w:bCs/>
          <w:color w:val="1a5276"/>
          <w:sz w:val="21"/>
          <w:szCs w:val="21"/>
        </w:rPr>
        <w:t xml:space="preserve">RQ2 — RAG Faithfulness &amp; Hallucination: </w:t>
      </w:r>
      <w:r>
        <w:rPr>
          <w:rFonts w:ascii="Arial" w:cs="Arial" w:eastAsia="Arial" w:hAnsi="Arial"/>
          <w:i/>
          <w:iCs/>
          <w:color w:val="333333"/>
          <w:sz w:val="21"/>
          <w:szCs w:val="21"/>
        </w:rPr>
        <w:t xml:space="preserve">To what extent does Retrieval-Augmented Generation reduce hallucination risk in support response generation, and which retrieval configuration (FAISS vs. ChromaDB, chunk size, top-k) maximizes faithfulness and relevance as measured by RAGAS?</w:t>
      </w:r>
    </w:p>
    <w:p>
      <w:pPr>
        <w:spacing w:after="60" w:before="180"/>
      </w:pPr>
      <w:r>
        <w:rPr>
          <w:rFonts w:ascii="Arial" w:cs="Arial" w:eastAsia="Arial" w:hAnsi="Arial"/>
          <w:b/>
          <w:bCs/>
          <w:color w:val="1a5276"/>
          <w:sz w:val="21"/>
          <w:szCs w:val="21"/>
        </w:rPr>
        <w:t xml:space="preserve">RQ3 — Confidence-Aware Escalation: </w:t>
      </w:r>
      <w:r>
        <w:rPr>
          <w:rFonts w:ascii="Arial" w:cs="Arial" w:eastAsia="Arial" w:hAnsi="Arial"/>
          <w:i/>
          <w:iCs/>
          <w:color w:val="333333"/>
          <w:sz w:val="21"/>
          <w:szCs w:val="21"/>
        </w:rPr>
        <w:t xml:space="preserve">Can a learned confidence-aware escalation mechanism — trained on historical email patterns — outperform static threshold-based routing in precision, recall, and human-agent workload reduction?</w:t>
      </w:r>
    </w:p>
    <w:p>
      <w:pPr>
        <w:spacing w:after="60" w:before="180"/>
      </w:pPr>
      <w:r>
        <w:rPr>
          <w:rFonts w:ascii="Arial" w:cs="Arial" w:eastAsia="Arial" w:hAnsi="Arial"/>
          <w:b/>
          <w:bCs/>
          <w:color w:val="1a5276"/>
          <w:sz w:val="21"/>
          <w:szCs w:val="21"/>
        </w:rPr>
        <w:t xml:space="preserve">RQ4 — Intent Classification Robustness: </w:t>
      </w:r>
      <w:r>
        <w:rPr>
          <w:rFonts w:ascii="Arial" w:cs="Arial" w:eastAsia="Arial" w:hAnsi="Arial"/>
          <w:i/>
          <w:iCs/>
          <w:color w:val="333333"/>
          <w:sz w:val="21"/>
          <w:szCs w:val="21"/>
        </w:rPr>
        <w:t xml:space="preserve">How robust is LLM-based intent classification within the agentic pipeline when exposed to noisy, ambiguous, or multilingual support emails, compared to fine-tuned BERT-family classifiers?</w:t>
      </w:r>
    </w:p>
    <w:p>
      <w:pPr>
        <w:spacing w:after="60" w:before="180"/>
      </w:pPr>
      <w:r>
        <w:rPr>
          <w:rFonts w:ascii="Arial" w:cs="Arial" w:eastAsia="Arial" w:hAnsi="Arial"/>
          <w:b/>
          <w:bCs/>
          <w:color w:val="1a5276"/>
          <w:sz w:val="21"/>
          <w:szCs w:val="21"/>
        </w:rPr>
        <w:t xml:space="preserve">RQ5 — Response Quality Evaluation: </w:t>
      </w:r>
      <w:r>
        <w:rPr>
          <w:rFonts w:ascii="Arial" w:cs="Arial" w:eastAsia="Arial" w:hAnsi="Arial"/>
          <w:i/>
          <w:iCs/>
          <w:color w:val="333333"/>
          <w:sz w:val="21"/>
          <w:szCs w:val="21"/>
        </w:rPr>
        <w:t xml:space="preserve">Which combination of automated metrics (BLEU, ROUGE-L, BERTScore, RAGAS answer correctness) best correlates with human-rated response quality in customer support email generation tasks?</w:t>
      </w:r>
    </w:p>
    <w:p>
      <w:pPr>
        <w:spacing w:after="60" w:before="180"/>
      </w:pPr>
      <w:r>
        <w:rPr>
          <w:rFonts w:ascii="Arial" w:cs="Arial" w:eastAsia="Arial" w:hAnsi="Arial"/>
          <w:b/>
          <w:bCs/>
          <w:color w:val="1a5276"/>
          <w:sz w:val="21"/>
          <w:szCs w:val="21"/>
        </w:rPr>
        <w:t xml:space="preserve">RQ6 — Scalability and Latency Under Load: </w:t>
      </w:r>
      <w:r>
        <w:rPr>
          <w:rFonts w:ascii="Arial" w:cs="Arial" w:eastAsia="Arial" w:hAnsi="Arial"/>
          <w:i/>
          <w:iCs/>
          <w:color w:val="333333"/>
          <w:sz w:val="21"/>
          <w:szCs w:val="21"/>
        </w:rPr>
        <w:t xml:space="preserve">What are the throughput, latency, and cost trade-offs of the multi-node LangGraph pipeline when deployed via FastAPI under varying email volume loads, and how do these scale relative to GPT-4 vs. smaller open-source LLMs?</w:t>
      </w:r>
    </w:p>
    <w:p>
      <w:pPr>
        <w:spacing w:after="60" w:before="180"/>
      </w:pPr>
      <w:r>
        <w:rPr>
          <w:rFonts w:ascii="Arial" w:cs="Arial" w:eastAsia="Arial" w:hAnsi="Arial"/>
          <w:b/>
          <w:bCs/>
          <w:color w:val="1a5276"/>
          <w:sz w:val="21"/>
          <w:szCs w:val="21"/>
        </w:rPr>
        <w:t xml:space="preserve">RQ7 — Ablation of Pipeline Components: </w:t>
      </w:r>
      <w:r>
        <w:rPr>
          <w:rFonts w:ascii="Arial" w:cs="Arial" w:eastAsia="Arial" w:hAnsi="Arial"/>
          <w:i/>
          <w:iCs/>
          <w:color w:val="333333"/>
          <w:sz w:val="21"/>
          <w:szCs w:val="21"/>
        </w:rPr>
        <w:t xml:space="preserve">Which individual components of the pipeline (RAG retrieval, multi-node routing, confidence calibration, LLM backbone) contribute most to overall system performance, as revealed through systematic ablation studies?</w:t>
      </w:r>
    </w:p>
    <w:p>
      <w:r>
        <w:br w:type="page"/>
      </w:r>
    </w:p>
    <w:p>
      <w:pPr>
        <w:pStyle w:val="Heading1"/>
        <w:spacing w:after="120" w:before="300"/>
      </w:pPr>
      <w:r>
        <w:rPr>
          <w:rFonts w:ascii="Arial" w:cs="Arial" w:eastAsia="Arial" w:hAnsi="Arial"/>
          <w:b/>
          <w:bCs/>
          <w:color w:val="1a5276"/>
          <w:sz w:val="32"/>
          <w:szCs w:val="32"/>
        </w:rPr>
        <w:t xml:space="preserve">3. Figures &amp; Tables Plan</w:t>
      </w:r>
    </w:p>
    <w:p>
      <w:pPr>
        <w:pBdr>
          <w:bottom w:val="single" w:color="1a5276" w:sz="6" w:space="1"/>
        </w:pBdr>
        <w:spacing w:after="120" w:before="120"/>
      </w:pPr>
      <w:r>
        <w:t xml:space="preserve"/>
      </w:r>
    </w:p>
    <w:p>
      <w:pPr>
        <w:spacing w:after="120" w:before="0"/>
        <w:jc w:val="both"/>
      </w:pPr>
      <w:r>
        <w:rPr>
          <w:rFonts w:ascii="Arial" w:cs="Arial" w:eastAsia="Arial" w:hAnsi="Arial"/>
          <w:b w:val="false"/>
          <w:bCs w:val="false"/>
          <w:i w:val="false"/>
          <w:iCs w:val="false"/>
          <w:color w:val="000000"/>
          <w:sz w:val="22"/>
          <w:szCs w:val="22"/>
        </w:rPr>
        <w:t xml:space="preserve">Each of the seven research questions is mapped to four publication-ready outputs (figures or tables). All figures are implemented as Python matplotlib/seaborn plots at 300 DPI.</w:t>
      </w:r>
    </w:p>
    <w:p>
      <w:pPr>
        <w:spacing w:after="60" w:before="60"/>
      </w:pPr>
      <w:r>
        <w:t xml:space="preserve"/>
      </w:r>
    </w:p>
    <w:p>
      <w:pPr>
        <w:pStyle w:val="Heading2"/>
        <w:spacing w:after="80" w:before="240"/>
      </w:pPr>
      <w:r>
        <w:rPr>
          <w:rFonts w:ascii="Arial" w:cs="Arial" w:eastAsia="Arial" w:hAnsi="Arial"/>
          <w:b/>
          <w:bCs/>
          <w:color w:val="2C3E50"/>
          <w:sz w:val="26"/>
          <w:szCs w:val="26"/>
        </w:rPr>
        <w:t xml:space="preserve">3.1 RQ1 — Architecture Effectiveness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Architecture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Multi-Node LangGraph Pipeline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 Overview of the proposed multi-node LangGraph agentic architecture comprising four functional nodes: Intent Classifier, KB Retriever, Response Generator, and Confidence-Aware Escalator. Arrows indicate state transitions via LangGraph StateGraph.</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Bar Chart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End-to-End Performance Comparison</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2. Comparative evaluation of the proposed system against keyword, fine-tuned BERT, and vanilla GPT-4 baselines across Intent F1, BLEU-4, BERTScore F1, and Escalation F1 on the curated benchmark (n=1,200).</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Baseline vs. Proposed System</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1. Performance comparison across systems. Metrics: Intent F1, BLEU-4, BERTScore F1, Escalation Precision/Recall.</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Node Definitions &amp; State Schema</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2. Formal specification of each LangGraph node: input state variables, processing function, output state variables, and transition conditions.</w:t>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900"/>
        <w:gridCol w:w="900"/>
        <w:gridCol w:w="1413"/>
        <w:gridCol w:w="1413"/>
        <w:gridCol w:w="1900"/>
      </w:tblGrid>
      <w:tr>
        <w:trPr>
          <w:tblHeader/>
        </w:trPr>
        <w:tc>
          <w:tcPr>
            <w:tcW w:type="dxa" w:w="25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System</w:t>
            </w:r>
          </w:p>
        </w:tc>
        <w:tc>
          <w:tcPr>
            <w:tcW w:type="dxa" w:w="9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Intent F1</w:t>
            </w:r>
          </w:p>
        </w:tc>
        <w:tc>
          <w:tcPr>
            <w:tcW w:type="dxa" w:w="9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BLEU-4</w:t>
            </w:r>
          </w:p>
        </w:tc>
        <w:tc>
          <w:tcPr>
            <w:tcW w:type="dxa" w:w="1413"/>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BERTScore F1</w:t>
            </w:r>
          </w:p>
        </w:tc>
        <w:tc>
          <w:tcPr>
            <w:tcW w:type="dxa" w:w="1413"/>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Esc. Precision</w:t>
            </w:r>
          </w:p>
        </w:tc>
        <w:tc>
          <w:tcPr>
            <w:tcW w:type="dxa" w:w="19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Esc. Recall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Keyword Baseline</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0.61</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0.18</w:t>
            </w:r>
          </w:p>
        </w:tc>
        <w:tc>
          <w:tcPr>
            <w:tcW w:type="dxa" w:w="1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0.72</w:t>
            </w:r>
          </w:p>
        </w:tc>
        <w:tc>
          <w:tcPr>
            <w:tcW w:type="dxa" w:w="1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0.54</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0.50</w:t>
            </w:r>
          </w:p>
        </w:tc>
      </w:tr>
      <w:tr>
        <w:tc>
          <w:tcPr>
            <w:tcW w:type="dxa" w:w="25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Fine-tuned BERT</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0.79</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0.27</w:t>
            </w:r>
          </w:p>
        </w:tc>
        <w:tc>
          <w:tcPr>
            <w:tcW w:type="dxa" w:w="1413"/>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0.81</w:t>
            </w:r>
          </w:p>
        </w:tc>
        <w:tc>
          <w:tcPr>
            <w:tcW w:type="dxa" w:w="1413"/>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0.68</w:t>
            </w:r>
          </w:p>
        </w:tc>
        <w:tc>
          <w:tcPr>
            <w:tcW w:type="dxa" w:w="1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Vanilla GPT-4</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0.83</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0.34</w:t>
            </w:r>
          </w:p>
        </w:tc>
        <w:tc>
          <w:tcPr>
            <w:tcW w:type="dxa" w:w="1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0.86</w:t>
            </w:r>
          </w:p>
        </w:tc>
        <w:tc>
          <w:tcPr>
            <w:tcW w:type="dxa" w:w="1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0.71</w:t>
            </w:r>
          </w:p>
        </w:tc>
        <w:tc>
          <w:tcPr>
            <w:tcW w:type="dxa" w:w="1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0.68</w:t>
            </w:r>
          </w:p>
        </w:tc>
      </w:tr>
      <w:tr>
        <w:tc>
          <w:tcPr>
            <w:tcW w:type="dxa" w:w="25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Proposed (LangGraph-RAG)</w:t>
            </w:r>
          </w:p>
        </w:tc>
        <w:tc>
          <w:tcPr>
            <w:tcW w:type="dxa" w:w="9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0.91</w:t>
            </w:r>
          </w:p>
        </w:tc>
        <w:tc>
          <w:tcPr>
            <w:tcW w:type="dxa" w:w="9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0.43</w:t>
            </w:r>
          </w:p>
        </w:tc>
        <w:tc>
          <w:tcPr>
            <w:tcW w:type="dxa" w:w="1413"/>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0.92</w:t>
            </w:r>
          </w:p>
        </w:tc>
        <w:tc>
          <w:tcPr>
            <w:tcW w:type="dxa" w:w="1413"/>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0.84</w:t>
            </w:r>
          </w:p>
        </w:tc>
        <w:tc>
          <w:tcPr>
            <w:tcW w:type="dxa" w:w="19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0.86</w:t>
            </w:r>
          </w:p>
        </w:tc>
      </w:tr>
    </w:tbl>
    <w:p>
      <w:pPr>
        <w:spacing w:after="160" w:before="80"/>
        <w:jc w:val="center"/>
      </w:pPr>
      <w:r>
        <w:rPr>
          <w:rFonts w:ascii="Arial" w:cs="Arial" w:eastAsia="Arial" w:hAnsi="Arial"/>
          <w:i/>
          <w:iCs/>
          <w:color w:val="555555"/>
          <w:sz w:val="18"/>
          <w:szCs w:val="18"/>
        </w:rPr>
        <w:t xml:space="preserve">Table 1 (Dummy Data). Performance comparison on curated evaluation dataset (n=1,200 emails).</w:t>
      </w:r>
    </w:p>
    <w:p>
      <w:pPr>
        <w:spacing w:after="60" w:before="120"/>
      </w:pPr>
      <w:r>
        <w:t xml:space="preserve"/>
      </w:r>
    </w:p>
    <w:p>
      <w:pPr>
        <w:pStyle w:val="Heading2"/>
        <w:spacing w:after="80" w:before="240"/>
      </w:pPr>
      <w:r>
        <w:rPr>
          <w:rFonts w:ascii="Arial" w:cs="Arial" w:eastAsia="Arial" w:hAnsi="Arial"/>
          <w:b/>
          <w:bCs/>
          <w:color w:val="2C3E50"/>
          <w:sz w:val="26"/>
          <w:szCs w:val="26"/>
        </w:rPr>
        <w:t xml:space="preserve">3.2 RQ2 — RAG Faithfulness &amp; Hallucination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Heatmap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RAG Config Grid (Chunk × Top-k)</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3. Heatmap of RAGAS faithfulness across chunk sizes {128,256,512} × top-k {1,3,5,7} for FAISS and ChromaDB. Optimal: chunk=256, k=5, ChromaDB (faithfulness=0.87).</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4</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Bar Chart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RAGAS Metric Comparison</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4. Four RAGAS dimensions for FAISS vs. ChromaDB under optimal config: Answer Faithfulness, Answer Relevancy, Context Precision, Context Recall.</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Retrieval Config Ablation</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3. RAGAS scores across 24 configurations (vector store × chunk size × top-k), including hallucination rate estimate.</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5</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Scatter</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Faithfulness vs. Response Length</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5. RAGAS Faithfulness vs. generated response token length by intent category. Negative correlation (r=−0.61, p&lt;0.001) motivates length-aware constraints.</w:t>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900"/>
        <w:gridCol w:w="1413"/>
        <w:gridCol w:w="1313"/>
        <w:gridCol w:w="1800"/>
        <w:gridCol w:w="1800"/>
      </w:tblGrid>
      <w:tr>
        <w:trPr>
          <w:tblHeader/>
        </w:trPr>
        <w:tc>
          <w:tcPr>
            <w:tcW w:type="dxa" w:w="16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Vector Store</w:t>
            </w:r>
          </w:p>
        </w:tc>
        <w:tc>
          <w:tcPr>
            <w:tcW w:type="dxa" w:w="1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Chunk Size</w:t>
            </w:r>
          </w:p>
        </w:tc>
        <w:tc>
          <w:tcPr>
            <w:tcW w:type="dxa" w:w="9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Top-k</w:t>
            </w:r>
          </w:p>
        </w:tc>
        <w:tc>
          <w:tcPr>
            <w:tcW w:type="dxa" w:w="1413"/>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Faithfulness</w:t>
            </w:r>
          </w:p>
        </w:tc>
        <w:tc>
          <w:tcPr>
            <w:tcW w:type="dxa" w:w="1313"/>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Relevancy</w:t>
            </w:r>
          </w:p>
        </w:tc>
        <w:tc>
          <w:tcPr>
            <w:tcW w:type="dxa" w:w="18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Ctx Precision</w:t>
            </w:r>
          </w:p>
        </w:tc>
        <w:tc>
          <w:tcPr>
            <w:tcW w:type="dxa" w:w="18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Halluc. Rate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FAISS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128</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3</w:t>
            </w:r>
          </w:p>
        </w:tc>
        <w:tc>
          <w:tcPr>
            <w:tcW w:type="dxa" w:w="1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0.71</w:t>
            </w:r>
          </w:p>
        </w:tc>
        <w:tc>
          <w:tcPr>
            <w:tcW w:type="dxa" w:w="13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18%</w:t>
            </w:r>
          </w:p>
        </w:tc>
      </w:tr>
      <w:tr>
        <w:tc>
          <w:tcPr>
            <w:tcW w:type="dxa" w:w="16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FAISS</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256</w:t>
            </w:r>
          </w:p>
        </w:tc>
        <w:tc>
          <w:tcPr>
            <w:tcW w:type="dxa" w:w="9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5</w:t>
            </w:r>
          </w:p>
        </w:tc>
        <w:tc>
          <w:tcPr>
            <w:tcW w:type="dxa" w:w="1413"/>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0.84</w:t>
            </w:r>
          </w:p>
        </w:tc>
        <w:tc>
          <w:tcPr>
            <w:tcW w:type="dxa" w:w="1313"/>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0.81</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0.79</w:t>
            </w:r>
          </w:p>
        </w:tc>
        <w:tc>
          <w:tcPr>
            <w:tcW w:type="dxa" w:w="1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FAISS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512</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7</w:t>
            </w:r>
          </w:p>
        </w:tc>
        <w:tc>
          <w:tcPr>
            <w:tcW w:type="dxa" w:w="14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0.79</w:t>
            </w:r>
          </w:p>
        </w:tc>
        <w:tc>
          <w:tcPr>
            <w:tcW w:type="dxa" w:w="1313"/>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12%</w:t>
            </w:r>
          </w:p>
        </w:tc>
      </w:tr>
      <w:tr>
        <w:tc>
          <w:tcPr>
            <w:tcW w:type="dxa" w:w="16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ChromaDB</w:t>
            </w:r>
          </w:p>
        </w:tc>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256</w:t>
            </w:r>
          </w:p>
        </w:tc>
        <w:tc>
          <w:tcPr>
            <w:tcW w:type="dxa" w:w="9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5</w:t>
            </w:r>
          </w:p>
        </w:tc>
        <w:tc>
          <w:tcPr>
            <w:tcW w:type="dxa" w:w="1413"/>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0.87</w:t>
            </w:r>
          </w:p>
        </w:tc>
        <w:tc>
          <w:tcPr>
            <w:tcW w:type="dxa" w:w="1313"/>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0.83</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0.82</w:t>
            </w:r>
          </w:p>
        </w:tc>
        <w:tc>
          <w:tcPr>
            <w:tcW w:type="dxa" w:w="1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7%</w:t>
            </w:r>
          </w:p>
        </w:tc>
      </w:tr>
    </w:tbl>
    <w:p>
      <w:pPr>
        <w:spacing w:after="160" w:before="80"/>
        <w:jc w:val="center"/>
      </w:pPr>
      <w:r>
        <w:rPr>
          <w:rFonts w:ascii="Arial" w:cs="Arial" w:eastAsia="Arial" w:hAnsi="Arial"/>
          <w:i/>
          <w:iCs/>
          <w:color w:val="555555"/>
          <w:sz w:val="18"/>
          <w:szCs w:val="18"/>
        </w:rPr>
        <w:t xml:space="preserve">Table 3 (Dummy Data, partial). RAGAS evaluation across retrieval configurations.</w:t>
      </w:r>
    </w:p>
    <w:p>
      <w:pPr>
        <w:spacing w:after="60" w:before="120"/>
      </w:pPr>
      <w:r>
        <w:t xml:space="preserve"/>
      </w:r>
    </w:p>
    <w:p>
      <w:pPr>
        <w:pStyle w:val="Heading2"/>
        <w:spacing w:after="80" w:before="240"/>
      </w:pPr>
      <w:r>
        <w:rPr>
          <w:rFonts w:ascii="Arial" w:cs="Arial" w:eastAsia="Arial" w:hAnsi="Arial"/>
          <w:b/>
          <w:bCs/>
          <w:color w:val="2C3E50"/>
          <w:sz w:val="26"/>
          <w:szCs w:val="26"/>
        </w:rPr>
        <w:t xml:space="preserve">3.3 RQ3 — Confidence-Aware Escalation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ROC Curve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Escalation: Static vs. Learned</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6. ROC curves for three escalation strategies: static τ=0.50, optimal static τ=0.65, and proposed learned model. Learned achieves highest AUC.</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7</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Line Plot</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Escalation Rate vs. Threshold τ</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7. Trade-off between escalation rate and automated accuracy vs. τ, for static and learned models. Shaded zone = optimal operating region.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Routing Accuracy by Strategy</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4. Precision, recall, F1, escalation rate (%), workload reduction (%) for three strategies.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8</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Confusion Matrix</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Escalation Decision Classification</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8. Confusion matrix (Auto-Respond vs. Escalate-to-Human) for the confidence-aware module on 400 test emails.</w:t>
            </w:r>
          </w:p>
        </w:tc>
      </w:tr>
    </w:tbl>
    <w:p>
      <w:pPr>
        <w:spacing w:after="6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126"/>
        <w:gridCol w:w="1700"/>
        <w:gridCol w:w="1000"/>
      </w:tblGrid>
      <w:tr>
        <w:trPr>
          <w:tblHeader/>
        </w:trPr>
        <w:tc>
          <w:tcPr>
            <w:tcW w:type="dxa" w:w="28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Strategy</w:t>
            </w:r>
          </w:p>
        </w:tc>
        <w:tc>
          <w:tcPr>
            <w:tcW w:type="dxa" w:w="1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Precision</w:t>
            </w:r>
          </w:p>
        </w:tc>
        <w:tc>
          <w:tcPr>
            <w:tcW w:type="dxa" w:w="1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Recall</w:t>
            </w:r>
          </w:p>
        </w:tc>
        <w:tc>
          <w:tcPr>
            <w:tcW w:type="dxa" w:w="1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F1</w:t>
            </w:r>
          </w:p>
        </w:tc>
        <w:tc>
          <w:tcPr>
            <w:tcW w:type="dxa" w:w="1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Esc. Rate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Workload 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Static (τ=0.50)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0.68</w:t>
            </w:r>
          </w:p>
        </w:tc>
        <w:tc>
          <w:tcPr>
            <w:tcW w:type="dxa" w:w="1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0.69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42%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31%</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Optimal Static (τ=0.65)</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0.78</w:t>
            </w:r>
          </w:p>
        </w:tc>
        <w:tc>
          <w:tcPr>
            <w:tcW w:type="dxa" w:w="1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0.75</w:t>
            </w:r>
          </w:p>
        </w:tc>
        <w:tc>
          <w:tcPr>
            <w:tcW w:type="dxa" w:w="1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0.76</w:t>
            </w:r>
          </w:p>
        </w:tc>
        <w:tc>
          <w:tcPr>
            <w:tcW w:type="dxa" w:w="1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35%</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44%</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Learned (Proposed)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0.88</w:t>
            </w:r>
          </w:p>
        </w:tc>
        <w:tc>
          <w:tcPr>
            <w:tcW w:type="dxa" w:w="12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0.86</w:t>
            </w:r>
          </w:p>
        </w:tc>
        <w:tc>
          <w:tcPr>
            <w:tcW w:type="dxa" w:w="11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0.87</w:t>
            </w:r>
          </w:p>
        </w:tc>
        <w:tc>
          <w:tcPr>
            <w:tcW w:type="dxa" w:w="17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22%</w:t>
            </w:r>
          </w:p>
        </w:tc>
        <w:tc>
          <w:tcPr>
            <w:tcW w:type="dxa" w:w="1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63%</w:t>
            </w:r>
          </w:p>
        </w:tc>
      </w:tr>
    </w:tbl>
    <w:p>
      <w:pPr>
        <w:spacing w:after="160" w:before="80"/>
        <w:jc w:val="center"/>
      </w:pPr>
      <w:r>
        <w:rPr>
          <w:rFonts w:ascii="Arial" w:cs="Arial" w:eastAsia="Arial" w:hAnsi="Arial"/>
          <w:i/>
          <w:iCs/>
          <w:color w:val="555555"/>
          <w:sz w:val="18"/>
          <w:szCs w:val="18"/>
        </w:rPr>
        <w:t xml:space="preserve">Table 4 (Dummy Data). Escalation routing evaluation on 400 test emails.</w:t>
      </w:r>
    </w:p>
    <w:p>
      <w:pPr>
        <w:spacing w:after="60" w:before="120"/>
      </w:pPr>
      <w:r>
        <w:t xml:space="preserve"/>
      </w:r>
    </w:p>
    <w:p>
      <w:pPr>
        <w:pStyle w:val="Heading2"/>
        <w:spacing w:after="80" w:before="240"/>
      </w:pPr>
      <w:r>
        <w:rPr>
          <w:rFonts w:ascii="Arial" w:cs="Arial" w:eastAsia="Arial" w:hAnsi="Arial"/>
          <w:b/>
          <w:bCs/>
          <w:color w:val="2C3E50"/>
          <w:sz w:val="26"/>
          <w:szCs w:val="26"/>
        </w:rPr>
        <w:t xml:space="preserve">3.4 RQ4 — Intent Classification Robustness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9</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Bar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F1 by Intent Class Across Models</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9. Per-class F1 for 6 intent categories (billing, refund, technical, shipping, account, general) across 4 systems.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5</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Performance Under Noise/Ambiguity</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5. Macro-F1 drop under 3 adversarial conditions: typos (5%), ambiguity, multilingual (DE/ES).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10</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Radar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Multi-Dimensional Robustness Profile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10. Radar chart across 5 robustness dimensions: clean accuracy, noise tolerance, multilingual, ambiguity, OOD detection.</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6</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Intent Misclassification Patterns</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6. Top-5 misclassification pairs per system — reveals systematic confusion between adjacent intents.</w:t>
            </w:r>
          </w:p>
        </w:tc>
      </w:tr>
    </w:tbl>
    <w:p>
      <w:pPr>
        <w:spacing w:after="60" w:before="120"/>
      </w:pPr>
      <w:r>
        <w:t xml:space="preserve"/>
      </w:r>
    </w:p>
    <w:p>
      <w:pPr>
        <w:pStyle w:val="Heading2"/>
        <w:spacing w:after="80" w:before="240"/>
      </w:pPr>
      <w:r>
        <w:rPr>
          <w:rFonts w:ascii="Arial" w:cs="Arial" w:eastAsia="Arial" w:hAnsi="Arial"/>
          <w:b/>
          <w:bCs/>
          <w:color w:val="2C3E50"/>
          <w:sz w:val="26"/>
          <w:szCs w:val="26"/>
        </w:rPr>
        <w:t xml:space="preserve">3.5 RQ5 — Response Quality Evaluation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Heatmap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Metric–Human Rating Correlations</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11. Pearson correlation matrix: automated metrics (BLEU-4, ROUGE-L, BERTScore, RAGAS) vs. human ratings (fluency, relevance, completeness, tone, overall). n=300.</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7</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Human Evaluation Summary</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7. Human evaluation (1–5 Likert) across 5 quality dimensions, 3 annotators, with Cohen's κ.</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Scatter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BERTScore vs. Human Relevance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12. BERTScore F1 vs. human-rated relevance (n=300), regression fit and 95% CI. BERTScore achieves r=0.81 — strongest automated proxy.</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8</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Automated Metrics Side-by-Side</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8. BLEU-4, ROUGE-1, ROUGE-L, BERTScore P/R/F1, RAGAS Correctness for all systems on full test set.</w:t>
            </w:r>
          </w:p>
        </w:tc>
      </w:tr>
    </w:tbl>
    <w:p>
      <w:pPr>
        <w:spacing w:after="60" w:before="120"/>
      </w:pPr>
      <w:r>
        <w:t xml:space="preserve"/>
      </w:r>
    </w:p>
    <w:p>
      <w:pPr>
        <w:pStyle w:val="Heading2"/>
        <w:spacing w:after="80" w:before="240"/>
      </w:pPr>
      <w:r>
        <w:rPr>
          <w:rFonts w:ascii="Arial" w:cs="Arial" w:eastAsia="Arial" w:hAnsi="Arial"/>
          <w:b/>
          <w:bCs/>
          <w:color w:val="2C3E50"/>
          <w:sz w:val="26"/>
          <w:szCs w:val="26"/>
        </w:rPr>
        <w:t xml:space="preserve">3.6 RQ6 — Scalability and Latency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Line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Latency vs. Concurrent Load</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13. Mean end-to-end latency (ms) vs. concurrent requests (1–100) for GPT-4-turbo, GPT-3.5-turbo, Mistral-7B. Measured via Locust.</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9</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LLM Backend Cost-Performance</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9. Throughput (emails/min), mean latency, P95 latency, cost per 1k emails, BERTScore F1 per backend.</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Stacked Bar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Pipeline Latency Breakdown by Node</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14. Per-node latency contribution (Classifier, Retriever, Responder, Escalator) per backend. Responder dominates.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10</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Scalability at Three Load Tiers</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10. Mean latency, P95 latency, error rate, actual throughput at low/medium/high load tiers.</w:t>
            </w:r>
          </w:p>
        </w:tc>
      </w:tr>
    </w:tbl>
    <w:p>
      <w:pPr>
        <w:spacing w:after="60" w:before="120"/>
      </w:pPr>
      <w:r>
        <w:t xml:space="preserve"/>
      </w:r>
    </w:p>
    <w:p>
      <w:pPr>
        <w:pStyle w:val="Heading2"/>
        <w:spacing w:after="80" w:before="240"/>
      </w:pPr>
      <w:r>
        <w:rPr>
          <w:rFonts w:ascii="Arial" w:cs="Arial" w:eastAsia="Arial" w:hAnsi="Arial"/>
          <w:b/>
          <w:bCs/>
          <w:color w:val="2C3E50"/>
          <w:sz w:val="26"/>
          <w:szCs w:val="26"/>
        </w:rPr>
        <w:t xml:space="preserve">3.7 RQ7 — Ablation Study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200"/>
        <w:gridCol w:w="5126"/>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w:t>
            </w:r>
          </w:p>
        </w:tc>
        <w:tc>
          <w:tcPr>
            <w:tcW w:type="dxa" w:w="1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Type</w:t>
            </w:r>
          </w:p>
        </w:tc>
        <w:tc>
          <w:tcPr>
            <w:tcW w:type="dxa" w:w="22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Title</w:t>
            </w:r>
          </w:p>
        </w:tc>
        <w:tc>
          <w:tcPr>
            <w:tcW w:type="dxa" w:w="51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Caption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Bar Chart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Component Contribution to Overall F1</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15. Ablation results: system performance when each component is removed (−RAG, −MultiNode, −ConfCalib, −LangGraph, Full).</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11</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Full Metric Ablation Matrix</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11. All 7 metrics across 5 ablation configurations. Last row = full proposed system.</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Waterfall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Incremental Performance Gains</w:t>
            </w:r>
          </w:p>
        </w:tc>
        <w:tc>
          <w:tcPr>
            <w:tcW w:type="dxa" w:w="51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Fig. 16. Waterfall: cumulative F1 gain as each component is added. RAG retrieval contributes the largest single gain (+0.08).</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 12</w:t>
            </w:r>
          </w:p>
        </w:tc>
        <w:tc>
          <w:tcPr>
            <w:tcW w:type="dxa" w:w="1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w:t>
            </w:r>
          </w:p>
        </w:tc>
        <w:tc>
          <w:tcPr>
            <w:tcW w:type="dxa" w:w="22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Sensitivity Analysis</w:t>
            </w:r>
          </w:p>
        </w:tc>
        <w:tc>
          <w:tcPr>
            <w:tcW w:type="dxa" w:w="51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Table 12. Performance variation (μ±σ, 5 runs) when each module replaced with weaker alternative.</w:t>
            </w:r>
          </w:p>
        </w:tc>
      </w:tr>
    </w:tbl>
    <w:p>
      <w:r>
        <w:br w:type="page"/>
      </w:r>
    </w:p>
    <w:p>
      <w:pPr>
        <w:pStyle w:val="Heading1"/>
        <w:spacing w:after="120" w:before="300"/>
      </w:pPr>
      <w:r>
        <w:rPr>
          <w:rFonts w:ascii="Arial" w:cs="Arial" w:eastAsia="Arial" w:hAnsi="Arial"/>
          <w:b/>
          <w:bCs/>
          <w:color w:val="1a5276"/>
          <w:sz w:val="32"/>
          <w:szCs w:val="32"/>
        </w:rPr>
        <w:t xml:space="preserve">4. Stepwise Methodology</w:t>
      </w:r>
    </w:p>
    <w:p>
      <w:pPr>
        <w:pBdr>
          <w:bottom w:val="single" w:color="1a5276" w:sz="6"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2C3E50"/>
          <w:sz w:val="26"/>
          <w:szCs w:val="26"/>
        </w:rPr>
        <w:t xml:space="preserve">4.1 Generic Methodology</w:t>
      </w:r>
    </w:p>
    <w:p>
      <w:pPr>
        <w:pStyle w:val="ListParagraph"/>
        <w:numPr>
          <w:ilvl w:val="0"/>
          <w:numId w:val="2"/>
        </w:numPr>
        <w:spacing w:after="80" w:before="0"/>
      </w:pPr>
      <w:r>
        <w:rPr>
          <w:rFonts w:ascii="Arial" w:cs="Arial" w:eastAsia="Arial" w:hAnsi="Arial"/>
          <w:sz w:val="20"/>
          <w:szCs w:val="20"/>
        </w:rPr>
        <w:t xml:space="preserve">Conduct a systematic literature review on: LLM-based email automation, RAG architectures (FAISS, ChromaDB), agentic LLM workflows (LangGraph, LangChain), and customer support NLP (intent classification, response generation, escalation)</w:t>
      </w:r>
    </w:p>
    <w:p>
      <w:pPr>
        <w:pStyle w:val="ListParagraph"/>
        <w:numPr>
          <w:ilvl w:val="0"/>
          <w:numId w:val="2"/>
        </w:numPr>
        <w:spacing w:after="80" w:before="0"/>
      </w:pPr>
      <w:r>
        <w:rPr>
          <w:rFonts w:ascii="Arial" w:cs="Arial" w:eastAsia="Arial" w:hAnsi="Arial"/>
          <w:sz w:val="20"/>
          <w:szCs w:val="20"/>
        </w:rPr>
        <w:t xml:space="preserve">Define the formal system architecture using LangGraph’s StateGraph abstraction — specifying nodes, state schema, transition logic, and inter-node data flow</w:t>
      </w:r>
    </w:p>
    <w:p>
      <w:pPr>
        <w:pStyle w:val="ListParagraph"/>
        <w:numPr>
          <w:ilvl w:val="0"/>
          <w:numId w:val="2"/>
        </w:numPr>
        <w:spacing w:after="80" w:before="0"/>
      </w:pPr>
      <w:r>
        <w:rPr>
          <w:rFonts w:ascii="Arial" w:cs="Arial" w:eastAsia="Arial" w:hAnsi="Arial"/>
          <w:sz w:val="20"/>
          <w:szCs w:val="20"/>
        </w:rPr>
        <w:t xml:space="preserve">Select and curate evaluation datasets: ASAP Dataset, Enron Email Dataset subsets, and internally synthesized mock support emails</w:t>
      </w:r>
    </w:p>
    <w:p>
      <w:pPr>
        <w:pStyle w:val="ListParagraph"/>
        <w:numPr>
          <w:ilvl w:val="0"/>
          <w:numId w:val="2"/>
        </w:numPr>
        <w:spacing w:after="80" w:before="0"/>
      </w:pPr>
      <w:r>
        <w:rPr>
          <w:rFonts w:ascii="Arial" w:cs="Arial" w:eastAsia="Arial" w:hAnsi="Arial"/>
          <w:sz w:val="20"/>
          <w:szCs w:val="20"/>
        </w:rPr>
        <w:t xml:space="preserve">Define evaluation metrics: RAGAS, BLEU-4, ROUGE-L, BERTScore F1, intent classification F1, escalation precision/recall, latency, and throughput</w:t>
      </w:r>
    </w:p>
    <w:p>
      <w:pPr>
        <w:pStyle w:val="ListParagraph"/>
        <w:numPr>
          <w:ilvl w:val="0"/>
          <w:numId w:val="2"/>
        </w:numPr>
        <w:spacing w:after="80" w:before="0"/>
      </w:pPr>
      <w:r>
        <w:rPr>
          <w:rFonts w:ascii="Arial" w:cs="Arial" w:eastAsia="Arial" w:hAnsi="Arial"/>
          <w:sz w:val="20"/>
          <w:szCs w:val="20"/>
        </w:rPr>
        <w:t xml:space="preserve">Implement the full pipeline extending the existing prototype at github.com/suhasvenkat/Support_Mail_Agent</w:t>
      </w:r>
    </w:p>
    <w:p>
      <w:pPr>
        <w:pStyle w:val="ListParagraph"/>
        <w:numPr>
          <w:ilvl w:val="0"/>
          <w:numId w:val="2"/>
        </w:numPr>
        <w:spacing w:after="80" w:before="0"/>
      </w:pPr>
      <w:r>
        <w:rPr>
          <w:rFonts w:ascii="Arial" w:cs="Arial" w:eastAsia="Arial" w:hAnsi="Arial"/>
          <w:sz w:val="20"/>
          <w:szCs w:val="20"/>
        </w:rPr>
        <w:t xml:space="preserve">Deploy via FastAPI and conduct load testing using Locust for scalability evaluation</w:t>
      </w:r>
    </w:p>
    <w:p>
      <w:pPr>
        <w:pStyle w:val="ListParagraph"/>
        <w:numPr>
          <w:ilvl w:val="0"/>
          <w:numId w:val="2"/>
        </w:numPr>
        <w:spacing w:after="80" w:before="0"/>
      </w:pPr>
      <w:r>
        <w:rPr>
          <w:rFonts w:ascii="Arial" w:cs="Arial" w:eastAsia="Arial" w:hAnsi="Arial"/>
          <w:sz w:val="20"/>
          <w:szCs w:val="20"/>
        </w:rPr>
        <w:t xml:space="preserve">Perform comprehensive ablation studies isolating each component’s contribution</w:t>
      </w:r>
    </w:p>
    <w:p>
      <w:pPr>
        <w:spacing w:after="60" w:before="80"/>
      </w:pPr>
      <w:r>
        <w:t xml:space="preserve"/>
      </w:r>
    </w:p>
    <w:p>
      <w:pPr>
        <w:pStyle w:val="Heading2"/>
        <w:spacing w:after="80" w:before="240"/>
      </w:pPr>
      <w:r>
        <w:rPr>
          <w:rFonts w:ascii="Arial" w:cs="Arial" w:eastAsia="Arial" w:hAnsi="Arial"/>
          <w:b/>
          <w:bCs/>
          <w:color w:val="2C3E50"/>
          <w:sz w:val="26"/>
          <w:szCs w:val="26"/>
        </w:rPr>
        <w:t xml:space="preserve">4.2 Dataset Construction</w:t>
      </w:r>
    </w:p>
    <w:p>
      <w:pPr>
        <w:pStyle w:val="ListParagraph"/>
        <w:numPr>
          <w:ilvl w:val="0"/>
          <w:numId w:val="2"/>
        </w:numPr>
        <w:spacing w:after="80" w:before="0"/>
      </w:pPr>
      <w:r>
        <w:rPr>
          <w:rFonts w:ascii="Arial" w:cs="Arial" w:eastAsia="Arial" w:hAnsi="Arial"/>
          <w:sz w:val="20"/>
          <w:szCs w:val="20"/>
        </w:rPr>
        <w:t xml:space="preserve">ASAP Dataset: ~10,000 student-written responses; adapt support-domain subset for intent labeling</w:t>
      </w:r>
    </w:p>
    <w:p>
      <w:pPr>
        <w:pStyle w:val="ListParagraph"/>
        <w:numPr>
          <w:ilvl w:val="0"/>
          <w:numId w:val="2"/>
        </w:numPr>
        <w:spacing w:after="80" w:before="0"/>
      </w:pPr>
      <w:r>
        <w:rPr>
          <w:rFonts w:ascii="Arial" w:cs="Arial" w:eastAsia="Arial" w:hAnsi="Arial"/>
          <w:sz w:val="20"/>
          <w:szCs w:val="20"/>
        </w:rPr>
        <w:t xml:space="preserve">Enron Email Dataset: filter business/support-relevant threads; annotate for intent and escalation labels</w:t>
      </w:r>
    </w:p>
    <w:p>
      <w:pPr>
        <w:pStyle w:val="ListParagraph"/>
        <w:numPr>
          <w:ilvl w:val="0"/>
          <w:numId w:val="2"/>
        </w:numPr>
        <w:spacing w:after="80" w:before="0"/>
      </w:pPr>
      <w:r>
        <w:rPr>
          <w:rFonts w:ascii="Arial" w:cs="Arial" w:eastAsia="Arial" w:hAnsi="Arial"/>
          <w:sz w:val="20"/>
          <w:szCs w:val="20"/>
        </w:rPr>
        <w:t xml:space="preserve">Synthetic Mock Data: generate 500–1,000 emails across 6 intent categories using GPT-4 with human review</w:t>
      </w:r>
    </w:p>
    <w:p>
      <w:pPr>
        <w:pStyle w:val="ListParagraph"/>
        <w:numPr>
          <w:ilvl w:val="0"/>
          <w:numId w:val="2"/>
        </w:numPr>
        <w:spacing w:after="80" w:before="0"/>
      </w:pPr>
      <w:r>
        <w:rPr>
          <w:rFonts w:ascii="Arial" w:cs="Arial" w:eastAsia="Arial" w:hAnsi="Arial"/>
          <w:sz w:val="20"/>
          <w:szCs w:val="20"/>
        </w:rPr>
        <w:t xml:space="preserve">Knowledge Base: construct 50–100 FAQ documents; chunk at 256 tokens, 10% overlap; embed with text-embedding-ada-002 or sentence-transformers/all-mpnet-base-v2</w:t>
      </w:r>
    </w:p>
    <w:p>
      <w:pPr>
        <w:spacing w:after="60" w:before="80"/>
      </w:pPr>
      <w:r>
        <w:t xml:space="preserve"/>
      </w:r>
    </w:p>
    <w:p>
      <w:pPr>
        <w:pStyle w:val="Heading2"/>
        <w:spacing w:after="80" w:before="240"/>
      </w:pPr>
      <w:r>
        <w:rPr>
          <w:rFonts w:ascii="Arial" w:cs="Arial" w:eastAsia="Arial" w:hAnsi="Arial"/>
          <w:b/>
          <w:bCs/>
          <w:color w:val="2C3E50"/>
          <w:sz w:val="26"/>
          <w:szCs w:val="26"/>
        </w:rPr>
        <w:t xml:space="preserve">4.3 Per Research Question Methodology</w:t>
      </w:r>
    </w:p>
    <w:p>
      <w:pPr>
        <w:spacing w:after="60" w:before="40"/>
      </w:pPr>
      <w:r>
        <w:t xml:space="preserve"/>
      </w:r>
    </w:p>
    <w:p>
      <w:pPr>
        <w:pStyle w:val="Heading3"/>
        <w:spacing w:after="60" w:before="180"/>
      </w:pPr>
      <w:r>
        <w:rPr>
          <w:rFonts w:ascii="Arial" w:cs="Arial" w:eastAsia="Arial" w:hAnsi="Arial"/>
          <w:b/>
          <w:bCs/>
          <w:color w:val="34495E"/>
          <w:sz w:val="23"/>
          <w:szCs w:val="23"/>
        </w:rPr>
        <w:t xml:space="preserve">RQ1 — Architecture</w:t>
      </w:r>
    </w:p>
    <w:p>
      <w:pPr>
        <w:pStyle w:val="ListParagraph"/>
        <w:numPr>
          <w:ilvl w:val="0"/>
          <w:numId w:val="2"/>
        </w:numPr>
        <w:spacing w:after="80" w:before="0"/>
      </w:pPr>
      <w:r>
        <w:rPr>
          <w:rFonts w:ascii="Arial" w:cs="Arial" w:eastAsia="Arial" w:hAnsi="Arial"/>
          <w:sz w:val="20"/>
          <w:szCs w:val="20"/>
        </w:rPr>
        <w:t xml:space="preserve">Implement four baseline systems: keyword classifier, fine-tuned BERT, vanilla GPT-4, and proposed LangGraph multi-node system</w:t>
      </w:r>
    </w:p>
    <w:p>
      <w:pPr>
        <w:pStyle w:val="ListParagraph"/>
        <w:numPr>
          <w:ilvl w:val="0"/>
          <w:numId w:val="2"/>
        </w:numPr>
        <w:spacing w:after="80" w:before="0"/>
      </w:pPr>
      <w:r>
        <w:rPr>
          <w:rFonts w:ascii="Arial" w:cs="Arial" w:eastAsia="Arial" w:hAnsi="Arial"/>
          <w:sz w:val="20"/>
          <w:szCs w:val="20"/>
        </w:rPr>
        <w:t xml:space="preserve">Evaluate all systems on same test split (n=1,200) using identical metrics and infrastructure</w:t>
      </w:r>
    </w:p>
    <w:p>
      <w:pPr>
        <w:pStyle w:val="ListParagraph"/>
        <w:numPr>
          <w:ilvl w:val="0"/>
          <w:numId w:val="2"/>
        </w:numPr>
        <w:spacing w:after="80" w:before="0"/>
      </w:pPr>
      <w:r>
        <w:rPr>
          <w:rFonts w:ascii="Arial" w:cs="Arial" w:eastAsia="Arial" w:hAnsi="Arial"/>
          <w:sz w:val="20"/>
          <w:szCs w:val="20"/>
        </w:rPr>
        <w:t xml:space="preserve">Report statistical significance using McNemar’s test</w:t>
      </w:r>
    </w:p>
    <w:p>
      <w:pPr>
        <w:spacing w:after="60" w:before="60"/>
      </w:pPr>
      <w:r>
        <w:t xml:space="preserve"/>
      </w:r>
    </w:p>
    <w:p>
      <w:pPr>
        <w:pStyle w:val="Heading3"/>
        <w:spacing w:after="60" w:before="180"/>
      </w:pPr>
      <w:r>
        <w:rPr>
          <w:rFonts w:ascii="Arial" w:cs="Arial" w:eastAsia="Arial" w:hAnsi="Arial"/>
          <w:b/>
          <w:bCs/>
          <w:color w:val="34495E"/>
          <w:sz w:val="23"/>
          <w:szCs w:val="23"/>
        </w:rPr>
        <w:t xml:space="preserve">RQ2 — RAG Faithfulness</w:t>
      </w:r>
    </w:p>
    <w:p>
      <w:pPr>
        <w:pStyle w:val="ListParagraph"/>
        <w:numPr>
          <w:ilvl w:val="0"/>
          <w:numId w:val="2"/>
        </w:numPr>
        <w:spacing w:after="80" w:before="0"/>
      </w:pPr>
      <w:r>
        <w:rPr>
          <w:rFonts w:ascii="Arial" w:cs="Arial" w:eastAsia="Arial" w:hAnsi="Arial"/>
          <w:sz w:val="20"/>
          <w:szCs w:val="20"/>
        </w:rPr>
        <w:t xml:space="preserve">Implement 3×4 grid of RAG configurations: chunk sizes {128, 256, 512} × top-k {1, 3, 5, 7} for FAISS and ChromaDB</w:t>
      </w:r>
    </w:p>
    <w:p>
      <w:pPr>
        <w:pStyle w:val="ListParagraph"/>
        <w:numPr>
          <w:ilvl w:val="0"/>
          <w:numId w:val="2"/>
        </w:numPr>
        <w:spacing w:after="80" w:before="0"/>
      </w:pPr>
      <w:r>
        <w:rPr>
          <w:rFonts w:ascii="Arial" w:cs="Arial" w:eastAsia="Arial" w:hAnsi="Arial"/>
          <w:sz w:val="20"/>
          <w:szCs w:val="20"/>
        </w:rPr>
        <w:t xml:space="preserve">Evaluate each configuration with RAGAS framework on 500 email-response pairs</w:t>
      </w:r>
    </w:p>
    <w:p>
      <w:pPr>
        <w:pStyle w:val="ListParagraph"/>
        <w:numPr>
          <w:ilvl w:val="0"/>
          <w:numId w:val="2"/>
        </w:numPr>
        <w:spacing w:after="80" w:before="0"/>
      </w:pPr>
      <w:r>
        <w:rPr>
          <w:rFonts w:ascii="Arial" w:cs="Arial" w:eastAsia="Arial" w:hAnsi="Arial"/>
          <w:sz w:val="20"/>
          <w:szCs w:val="20"/>
        </w:rPr>
        <w:t xml:space="preserve">Select optimal configuration based on faithfulness × relevancy composite score</w:t>
      </w:r>
    </w:p>
    <w:p>
      <w:pPr>
        <w:spacing w:after="60" w:before="60"/>
      </w:pPr>
      <w:r>
        <w:t xml:space="preserve"/>
      </w:r>
    </w:p>
    <w:p>
      <w:pPr>
        <w:pStyle w:val="Heading3"/>
        <w:spacing w:after="60" w:before="180"/>
      </w:pPr>
      <w:r>
        <w:rPr>
          <w:rFonts w:ascii="Arial" w:cs="Arial" w:eastAsia="Arial" w:hAnsi="Arial"/>
          <w:b/>
          <w:bCs/>
          <w:color w:val="34495E"/>
          <w:sz w:val="23"/>
          <w:szCs w:val="23"/>
        </w:rPr>
        <w:t xml:space="preserve">RQ3 — Escalation</w:t>
      </w:r>
    </w:p>
    <w:p>
      <w:pPr>
        <w:pStyle w:val="ListParagraph"/>
        <w:numPr>
          <w:ilvl w:val="0"/>
          <w:numId w:val="2"/>
        </w:numPr>
        <w:spacing w:after="80" w:before="0"/>
      </w:pPr>
      <w:r>
        <w:rPr>
          <w:rFonts w:ascii="Arial" w:cs="Arial" w:eastAsia="Arial" w:hAnsi="Arial"/>
          <w:sz w:val="20"/>
          <w:szCs w:val="20"/>
        </w:rPr>
        <w:t xml:space="preserve">Implement 3 strategies: static τ=0.50, grid-searched static, and learned model (logistic regression / MLP on confidence features)</w:t>
      </w:r>
    </w:p>
    <w:p>
      <w:pPr>
        <w:pStyle w:val="ListParagraph"/>
        <w:numPr>
          <w:ilvl w:val="0"/>
          <w:numId w:val="2"/>
        </w:numPr>
        <w:spacing w:after="80" w:before="0"/>
      </w:pPr>
      <w:r>
        <w:rPr>
          <w:rFonts w:ascii="Arial" w:cs="Arial" w:eastAsia="Arial" w:hAnsi="Arial"/>
          <w:sz w:val="20"/>
          <w:szCs w:val="20"/>
        </w:rPr>
        <w:t xml:space="preserve">Train on 70% annotated data; evaluate on 30% holdout</w:t>
      </w:r>
    </w:p>
    <w:p>
      <w:pPr>
        <w:pStyle w:val="ListParagraph"/>
        <w:numPr>
          <w:ilvl w:val="0"/>
          <w:numId w:val="2"/>
        </w:numPr>
        <w:spacing w:after="80" w:before="0"/>
      </w:pPr>
      <w:r>
        <w:rPr>
          <w:rFonts w:ascii="Arial" w:cs="Arial" w:eastAsia="Arial" w:hAnsi="Arial"/>
          <w:sz w:val="20"/>
          <w:szCs w:val="20"/>
        </w:rPr>
        <w:t xml:space="preserve">Report precision, recall, F1, escalation rate, and workload reduction metrics</w:t>
      </w:r>
    </w:p>
    <w:p>
      <w:pPr>
        <w:spacing w:after="60" w:before="60"/>
      </w:pPr>
      <w:r>
        <w:t xml:space="preserve"/>
      </w:r>
    </w:p>
    <w:p>
      <w:pPr>
        <w:pStyle w:val="Heading3"/>
        <w:spacing w:after="60" w:before="180"/>
      </w:pPr>
      <w:r>
        <w:rPr>
          <w:rFonts w:ascii="Arial" w:cs="Arial" w:eastAsia="Arial" w:hAnsi="Arial"/>
          <w:b/>
          <w:bCs/>
          <w:color w:val="34495E"/>
          <w:sz w:val="23"/>
          <w:szCs w:val="23"/>
        </w:rPr>
        <w:t xml:space="preserve">RQ4 — Robustness</w:t>
      </w:r>
    </w:p>
    <w:p>
      <w:pPr>
        <w:pStyle w:val="ListParagraph"/>
        <w:numPr>
          <w:ilvl w:val="0"/>
          <w:numId w:val="2"/>
        </w:numPr>
        <w:spacing w:after="80" w:before="0"/>
      </w:pPr>
      <w:r>
        <w:rPr>
          <w:rFonts w:ascii="Arial" w:cs="Arial" w:eastAsia="Arial" w:hAnsi="Arial"/>
          <w:sz w:val="20"/>
          <w:szCs w:val="20"/>
        </w:rPr>
        <w:t xml:space="preserve">Construct 3 adversarial test sets: noisy (5% random character substitution), ambiguous (human-written edge cases), multilingual (DE/ES translations via DeepL)</w:t>
      </w:r>
    </w:p>
    <w:p>
      <w:pPr>
        <w:pStyle w:val="ListParagraph"/>
        <w:numPr>
          <w:ilvl w:val="0"/>
          <w:numId w:val="2"/>
        </w:numPr>
        <w:spacing w:after="80" w:before="0"/>
      </w:pPr>
      <w:r>
        <w:rPr>
          <w:rFonts w:ascii="Arial" w:cs="Arial" w:eastAsia="Arial" w:hAnsi="Arial"/>
          <w:sz w:val="20"/>
          <w:szCs w:val="20"/>
        </w:rPr>
        <w:t xml:space="preserve">Evaluate all classifiers on clean and adversarial sets; report macro-F1 drop</w:t>
      </w:r>
    </w:p>
    <w:p>
      <w:pPr>
        <w:spacing w:after="60" w:before="60"/>
      </w:pPr>
      <w:r>
        <w:t xml:space="preserve"/>
      </w:r>
    </w:p>
    <w:p>
      <w:pPr>
        <w:pStyle w:val="Heading3"/>
        <w:spacing w:after="60" w:before="180"/>
      </w:pPr>
      <w:r>
        <w:rPr>
          <w:rFonts w:ascii="Arial" w:cs="Arial" w:eastAsia="Arial" w:hAnsi="Arial"/>
          <w:b/>
          <w:bCs/>
          <w:color w:val="34495E"/>
          <w:sz w:val="23"/>
          <w:szCs w:val="23"/>
        </w:rPr>
        <w:t xml:space="preserve">RQ5 — Metrics Correlation</w:t>
      </w:r>
    </w:p>
    <w:p>
      <w:pPr>
        <w:pStyle w:val="ListParagraph"/>
        <w:numPr>
          <w:ilvl w:val="0"/>
          <w:numId w:val="2"/>
        </w:numPr>
        <w:spacing w:after="80" w:before="0"/>
      </w:pPr>
      <w:r>
        <w:rPr>
          <w:rFonts w:ascii="Arial" w:cs="Arial" w:eastAsia="Arial" w:hAnsi="Arial"/>
          <w:sz w:val="20"/>
          <w:szCs w:val="20"/>
        </w:rPr>
        <w:t xml:space="preserve">Recruit 3 annotators to rate 300 generated responses on 5 Likert-scale dimensions</w:t>
      </w:r>
    </w:p>
    <w:p>
      <w:pPr>
        <w:pStyle w:val="ListParagraph"/>
        <w:numPr>
          <w:ilvl w:val="0"/>
          <w:numId w:val="2"/>
        </w:numPr>
        <w:spacing w:after="80" w:before="0"/>
      </w:pPr>
      <w:r>
        <w:rPr>
          <w:rFonts w:ascii="Arial" w:cs="Arial" w:eastAsia="Arial" w:hAnsi="Arial"/>
          <w:sz w:val="20"/>
          <w:szCs w:val="20"/>
        </w:rPr>
        <w:t xml:space="preserve">Compute Cohen’s κ for inter-rater agreement</w:t>
      </w:r>
    </w:p>
    <w:p>
      <w:pPr>
        <w:pStyle w:val="ListParagraph"/>
        <w:numPr>
          <w:ilvl w:val="0"/>
          <w:numId w:val="2"/>
        </w:numPr>
        <w:spacing w:after="80" w:before="0"/>
      </w:pPr>
      <w:r>
        <w:rPr>
          <w:rFonts w:ascii="Arial" w:cs="Arial" w:eastAsia="Arial" w:hAnsi="Arial"/>
          <w:sz w:val="20"/>
          <w:szCs w:val="20"/>
        </w:rPr>
        <w:t xml:space="preserve">Calculate Pearson/Spearman correlations between automated metrics and mean human ratings</w:t>
      </w:r>
    </w:p>
    <w:p>
      <w:pPr>
        <w:spacing w:after="60" w:before="60"/>
      </w:pPr>
      <w:r>
        <w:t xml:space="preserve"/>
      </w:r>
    </w:p>
    <w:p>
      <w:pPr>
        <w:pStyle w:val="Heading3"/>
        <w:spacing w:after="60" w:before="180"/>
      </w:pPr>
      <w:r>
        <w:rPr>
          <w:rFonts w:ascii="Arial" w:cs="Arial" w:eastAsia="Arial" w:hAnsi="Arial"/>
          <w:b/>
          <w:bCs/>
          <w:color w:val="34495E"/>
          <w:sz w:val="23"/>
          <w:szCs w:val="23"/>
        </w:rPr>
        <w:t xml:space="preserve">RQ6 — Scalability</w:t>
      </w:r>
    </w:p>
    <w:p>
      <w:pPr>
        <w:pStyle w:val="ListParagraph"/>
        <w:numPr>
          <w:ilvl w:val="0"/>
          <w:numId w:val="2"/>
        </w:numPr>
        <w:spacing w:after="80" w:before="0"/>
      </w:pPr>
      <w:r>
        <w:rPr>
          <w:rFonts w:ascii="Arial" w:cs="Arial" w:eastAsia="Arial" w:hAnsi="Arial"/>
          <w:sz w:val="20"/>
          <w:szCs w:val="20"/>
        </w:rPr>
        <w:t xml:space="preserve">Deploy FastAPI service on standardized cloud instance (AWS t3.large or equivalent)</w:t>
      </w:r>
    </w:p>
    <w:p>
      <w:pPr>
        <w:pStyle w:val="ListParagraph"/>
        <w:numPr>
          <w:ilvl w:val="0"/>
          <w:numId w:val="2"/>
        </w:numPr>
        <w:spacing w:after="80" w:before="0"/>
      </w:pPr>
      <w:r>
        <w:rPr>
          <w:rFonts w:ascii="Arial" w:cs="Arial" w:eastAsia="Arial" w:hAnsi="Arial"/>
          <w:sz w:val="20"/>
          <w:szCs w:val="20"/>
        </w:rPr>
        <w:t xml:space="preserve">Simulate load using Locust at 10, 50, 100, 200, 500 concurrent requests</w:t>
      </w:r>
    </w:p>
    <w:p>
      <w:pPr>
        <w:pStyle w:val="ListParagraph"/>
        <w:numPr>
          <w:ilvl w:val="0"/>
          <w:numId w:val="2"/>
        </w:numPr>
        <w:spacing w:after="80" w:before="0"/>
      </w:pPr>
      <w:r>
        <w:rPr>
          <w:rFonts w:ascii="Arial" w:cs="Arial" w:eastAsia="Arial" w:hAnsi="Arial"/>
          <w:sz w:val="20"/>
          <w:szCs w:val="20"/>
        </w:rPr>
        <w:t xml:space="preserve">Test three LLM backends (GPT-4-turbo, GPT-3.5-turbo, Mistral-7B) under identical conditions</w:t>
      </w:r>
    </w:p>
    <w:p>
      <w:pPr>
        <w:spacing w:after="60" w:before="60"/>
      </w:pPr>
      <w:r>
        <w:t xml:space="preserve"/>
      </w:r>
    </w:p>
    <w:p>
      <w:pPr>
        <w:pStyle w:val="Heading3"/>
        <w:spacing w:after="60" w:before="180"/>
      </w:pPr>
      <w:r>
        <w:rPr>
          <w:rFonts w:ascii="Arial" w:cs="Arial" w:eastAsia="Arial" w:hAnsi="Arial"/>
          <w:b/>
          <w:bCs/>
          <w:color w:val="34495E"/>
          <w:sz w:val="23"/>
          <w:szCs w:val="23"/>
        </w:rPr>
        <w:t xml:space="preserve">RQ7 — Ablation</w:t>
      </w:r>
    </w:p>
    <w:p>
      <w:pPr>
        <w:pStyle w:val="ListParagraph"/>
        <w:numPr>
          <w:ilvl w:val="0"/>
          <w:numId w:val="2"/>
        </w:numPr>
        <w:spacing w:after="80" w:before="0"/>
      </w:pPr>
      <w:r>
        <w:rPr>
          <w:rFonts w:ascii="Arial" w:cs="Arial" w:eastAsia="Arial" w:hAnsi="Arial"/>
          <w:sz w:val="20"/>
          <w:szCs w:val="20"/>
        </w:rPr>
        <w:t xml:space="preserve">Implement 5 ablation variants by sequentially removing: RAG retrieval, multi-node routing, confidence calibration, LangGraph orchestration</w:t>
      </w:r>
    </w:p>
    <w:p>
      <w:pPr>
        <w:pStyle w:val="ListParagraph"/>
        <w:numPr>
          <w:ilvl w:val="0"/>
          <w:numId w:val="2"/>
        </w:numPr>
        <w:spacing w:after="80" w:before="0"/>
      </w:pPr>
      <w:r>
        <w:rPr>
          <w:rFonts w:ascii="Arial" w:cs="Arial" w:eastAsia="Arial" w:hAnsi="Arial"/>
          <w:sz w:val="20"/>
          <w:szCs w:val="20"/>
        </w:rPr>
        <w:t xml:space="preserve">Evaluate each variant on full test set using all primary metrics</w:t>
      </w:r>
    </w:p>
    <w:p>
      <w:pPr>
        <w:pStyle w:val="ListParagraph"/>
        <w:numPr>
          <w:ilvl w:val="0"/>
          <w:numId w:val="2"/>
        </w:numPr>
        <w:spacing w:after="80" w:before="0"/>
      </w:pPr>
      <w:r>
        <w:rPr>
          <w:rFonts w:ascii="Arial" w:cs="Arial" w:eastAsia="Arial" w:hAnsi="Arial"/>
          <w:sz w:val="20"/>
          <w:szCs w:val="20"/>
        </w:rPr>
        <w:t xml:space="preserve">Construct waterfall chart of cumulative gains per component</w:t>
      </w:r>
    </w:p>
    <w:p>
      <w:r>
        <w:br w:type="page"/>
      </w:r>
    </w:p>
    <w:p>
      <w:pPr>
        <w:pStyle w:val="Heading1"/>
        <w:spacing w:after="120" w:before="300"/>
      </w:pPr>
      <w:r>
        <w:rPr>
          <w:rFonts w:ascii="Arial" w:cs="Arial" w:eastAsia="Arial" w:hAnsi="Arial"/>
          <w:b/>
          <w:bCs/>
          <w:color w:val="1a5276"/>
          <w:sz w:val="32"/>
          <w:szCs w:val="32"/>
        </w:rPr>
        <w:t xml:space="preserve">5. Introduction, Objectives, and Contributions</w:t>
      </w:r>
    </w:p>
    <w:p>
      <w:pPr>
        <w:pBdr>
          <w:bottom w:val="single" w:color="1a5276" w:sz="6" w:space="1"/>
        </w:pBdr>
        <w:spacing w:after="120" w:before="120"/>
      </w:pPr>
      <w:r>
        <w:t xml:space="preserve"/>
      </w:r>
    </w:p>
    <w:p>
      <w:pPr>
        <w:spacing w:after="60" w:before="60"/>
      </w:pPr>
      <w:r>
        <w:t xml:space="preserve"/>
      </w:r>
    </w:p>
    <w:p>
      <w:pPr>
        <w:pStyle w:val="Heading2"/>
        <w:spacing w:after="80" w:before="240"/>
      </w:pPr>
      <w:r>
        <w:rPr>
          <w:rFonts w:ascii="Arial" w:cs="Arial" w:eastAsia="Arial" w:hAnsi="Arial"/>
          <w:b/>
          <w:bCs/>
          <w:color w:val="2C3E50"/>
          <w:sz w:val="26"/>
          <w:szCs w:val="26"/>
        </w:rPr>
        <w:t xml:space="preserve">5.1 Introduction</w:t>
      </w:r>
    </w:p>
    <w:p>
      <w:pPr>
        <w:spacing w:after="120" w:before="0"/>
        <w:jc w:val="both"/>
      </w:pPr>
      <w:r>
        <w:rPr>
          <w:rFonts w:ascii="Arial" w:cs="Arial" w:eastAsia="Arial" w:hAnsi="Arial"/>
          <w:b w:val="false"/>
          <w:bCs w:val="false"/>
          <w:i w:val="false"/>
          <w:iCs w:val="false"/>
          <w:color w:val="000000"/>
          <w:sz w:val="22"/>
          <w:szCs w:val="22"/>
        </w:rPr>
        <w:t xml:space="preserve">Customer support email operations represent a critical yet resource-intensive function in modern enterprises. Organizations handling high email volumes face significant challenges including slow response times, inconsistent quality, agent burnout, and the inability to scale with growing demand. Traditional rule-based automation systems fail to handle the linguistic diversity and contextual complexity of real-world customer inquiries. This creates a pressing need for intelligent systems capable of reasoning over both structured knowledge bases and unstructured natural language.</w:t>
      </w:r>
    </w:p>
    <w:p>
      <w:pPr>
        <w:spacing w:after="60" w:before="80"/>
      </w:pPr>
      <w:r>
        <w:t xml:space="preserve"/>
      </w:r>
    </w:p>
    <w:p>
      <w:pPr>
        <w:spacing w:after="120" w:before="0"/>
        <w:jc w:val="both"/>
      </w:pPr>
      <w:r>
        <w:rPr>
          <w:rFonts w:ascii="Arial" w:cs="Arial" w:eastAsia="Arial" w:hAnsi="Arial"/>
          <w:b w:val="false"/>
          <w:bCs w:val="false"/>
          <w:i w:val="false"/>
          <w:iCs w:val="false"/>
          <w:color w:val="000000"/>
          <w:sz w:val="22"/>
          <w:szCs w:val="22"/>
        </w:rPr>
        <w:t xml:space="preserve">Recent advances in Large Language Models (LLMs) and Retrieval-Augmented Generation (RAG) have created new possibilities for building systems that combine deep language understanding with domain-specific knowledge retrieval. The Support Mail Agent project demonstrates a working prototype of such a system, built using LangGraph, LangChain, FAISS vector search, and FastAPI. However, the existing implementation remains a proof of concept and leaves several critical research questions open — particularly regarding evaluation rigor, scalability, confidence calibration, and the quality of the multi-node agentic workflow.</w:t>
      </w:r>
    </w:p>
    <w:p>
      <w:pPr>
        <w:spacing w:after="60" w:before="80"/>
      </w:pPr>
      <w:r>
        <w:t xml:space="preserve"/>
      </w:r>
    </w:p>
    <w:p>
      <w:pPr>
        <w:spacing w:after="120" w:before="0"/>
        <w:jc w:val="both"/>
      </w:pPr>
      <w:r>
        <w:rPr>
          <w:rFonts w:ascii="Arial" w:cs="Arial" w:eastAsia="Arial" w:hAnsi="Arial"/>
          <w:b w:val="false"/>
          <w:bCs w:val="false"/>
          <w:i w:val="false"/>
          <w:iCs w:val="false"/>
          <w:color w:val="000000"/>
          <w:sz w:val="22"/>
          <w:szCs w:val="22"/>
        </w:rPr>
        <w:t xml:space="preserve">While existing academic literature on email automation primarily addresses classification tasks in isolation, there is no prior work modeling the full pipeline from intent detection through knowledge retrieval to response generation and human escalation as an integrated, evaluable system. This thesis addresses that gap.</w:t>
      </w:r>
    </w:p>
    <w:p>
      <w:pPr>
        <w:spacing w:after="60" w:before="80"/>
      </w:pPr>
      <w:r>
        <w:t xml:space="preserve"/>
      </w:r>
    </w:p>
    <w:p>
      <w:pPr>
        <w:pStyle w:val="Heading2"/>
        <w:spacing w:after="80" w:before="240"/>
      </w:pPr>
      <w:r>
        <w:rPr>
          <w:rFonts w:ascii="Arial" w:cs="Arial" w:eastAsia="Arial" w:hAnsi="Arial"/>
          <w:b/>
          <w:bCs/>
          <w:color w:val="2C3E50"/>
          <w:sz w:val="26"/>
          <w:szCs w:val="26"/>
        </w:rPr>
        <w:t xml:space="preserve">5.2 Research Objectives</w:t>
      </w:r>
    </w:p>
    <w:p>
      <w:pPr>
        <w:pStyle w:val="ListParagraph"/>
        <w:numPr>
          <w:ilvl w:val="0"/>
          <w:numId w:val="3"/>
        </w:numPr>
        <w:spacing w:after="80" w:before="0"/>
      </w:pPr>
      <w:r>
        <w:rPr>
          <w:rFonts w:ascii="Arial" w:cs="Arial" w:eastAsia="Arial" w:hAnsi="Arial"/>
          <w:sz w:val="20"/>
          <w:szCs w:val="20"/>
        </w:rPr>
        <w:t xml:space="preserve">Design and formalize a multi-node LangGraph agentic architecture for end-to-end email support automation</w:t>
      </w:r>
    </w:p>
    <w:p>
      <w:pPr>
        <w:pStyle w:val="ListParagraph"/>
        <w:numPr>
          <w:ilvl w:val="0"/>
          <w:numId w:val="3"/>
        </w:numPr>
        <w:spacing w:after="80" w:before="0"/>
      </w:pPr>
      <w:r>
        <w:rPr>
          <w:rFonts w:ascii="Arial" w:cs="Arial" w:eastAsia="Arial" w:hAnsi="Arial"/>
          <w:sz w:val="20"/>
          <w:szCs w:val="20"/>
        </w:rPr>
        <w:t xml:space="preserve">Evaluate RAG pipeline faithfulness, relevancy, and hallucination risk using RAGAS across retrieval configurations</w:t>
      </w:r>
    </w:p>
    <w:p>
      <w:pPr>
        <w:pStyle w:val="ListParagraph"/>
        <w:numPr>
          <w:ilvl w:val="0"/>
          <w:numId w:val="3"/>
        </w:numPr>
        <w:spacing w:after="80" w:before="0"/>
      </w:pPr>
      <w:r>
        <w:rPr>
          <w:rFonts w:ascii="Arial" w:cs="Arial" w:eastAsia="Arial" w:hAnsi="Arial"/>
          <w:sz w:val="20"/>
          <w:szCs w:val="20"/>
        </w:rPr>
        <w:t xml:space="preserve">Develop and validate a confidence-aware escalation mechanism that outperforms static thresholds</w:t>
      </w:r>
    </w:p>
    <w:p>
      <w:pPr>
        <w:pStyle w:val="ListParagraph"/>
        <w:numPr>
          <w:ilvl w:val="0"/>
          <w:numId w:val="3"/>
        </w:numPr>
        <w:spacing w:after="80" w:before="0"/>
      </w:pPr>
      <w:r>
        <w:rPr>
          <w:rFonts w:ascii="Arial" w:cs="Arial" w:eastAsia="Arial" w:hAnsi="Arial"/>
          <w:sz w:val="20"/>
          <w:szCs w:val="20"/>
        </w:rPr>
        <w:t xml:space="preserve">Benchmark the system against keyword, BERT, and vanilla LLM baselines on standardized datasets</w:t>
      </w:r>
    </w:p>
    <w:p>
      <w:pPr>
        <w:pStyle w:val="ListParagraph"/>
        <w:numPr>
          <w:ilvl w:val="0"/>
          <w:numId w:val="3"/>
        </w:numPr>
        <w:spacing w:after="80" w:before="0"/>
      </w:pPr>
      <w:r>
        <w:rPr>
          <w:rFonts w:ascii="Arial" w:cs="Arial" w:eastAsia="Arial" w:hAnsi="Arial"/>
          <w:sz w:val="20"/>
          <w:szCs w:val="20"/>
        </w:rPr>
        <w:t xml:space="preserve">Establish which automated metrics best correlate with human-rated response quality</w:t>
      </w:r>
    </w:p>
    <w:p>
      <w:pPr>
        <w:pStyle w:val="ListParagraph"/>
        <w:numPr>
          <w:ilvl w:val="0"/>
          <w:numId w:val="3"/>
        </w:numPr>
        <w:spacing w:after="80" w:before="0"/>
      </w:pPr>
      <w:r>
        <w:rPr>
          <w:rFonts w:ascii="Arial" w:cs="Arial" w:eastAsia="Arial" w:hAnsi="Arial"/>
          <w:sz w:val="20"/>
          <w:szCs w:val="20"/>
        </w:rPr>
        <w:t xml:space="preserve">Characterize scalability and latency trade-offs across LLM backends under realistic load</w:t>
      </w:r>
    </w:p>
    <w:p>
      <w:pPr>
        <w:pStyle w:val="ListParagraph"/>
        <w:numPr>
          <w:ilvl w:val="0"/>
          <w:numId w:val="3"/>
        </w:numPr>
        <w:spacing w:after="80" w:before="0"/>
      </w:pPr>
      <w:r>
        <w:rPr>
          <w:rFonts w:ascii="Arial" w:cs="Arial" w:eastAsia="Arial" w:hAnsi="Arial"/>
          <w:sz w:val="20"/>
          <w:szCs w:val="20"/>
        </w:rPr>
        <w:t xml:space="preserve">Isolate individual component contributions via systematic ablation</w:t>
      </w:r>
    </w:p>
    <w:p>
      <w:pPr>
        <w:spacing w:after="60" w:before="80"/>
      </w:pPr>
      <w:r>
        <w:t xml:space="preserve"/>
      </w:r>
    </w:p>
    <w:p>
      <w:pPr>
        <w:pStyle w:val="Heading2"/>
        <w:spacing w:after="80" w:before="240"/>
      </w:pPr>
      <w:r>
        <w:rPr>
          <w:rFonts w:ascii="Arial" w:cs="Arial" w:eastAsia="Arial" w:hAnsi="Arial"/>
          <w:b/>
          <w:bCs/>
          <w:color w:val="2C3E50"/>
          <w:sz w:val="26"/>
          <w:szCs w:val="26"/>
        </w:rPr>
        <w:t xml:space="preserve">5.3 Research Contributions</w:t>
      </w:r>
    </w:p>
    <w:p>
      <w:pPr>
        <w:spacing w:after="60" w:before="40"/>
      </w:pPr>
      <w:r>
        <w:t xml:space="preserve"/>
      </w:r>
    </w:p>
    <w:p>
      <w:pPr>
        <w:spacing w:after="60" w:before="0"/>
      </w:pPr>
      <w:r>
        <w:rPr>
          <w:rFonts w:ascii="Arial" w:cs="Arial" w:eastAsia="Arial" w:hAnsi="Arial"/>
          <w:b/>
          <w:bCs/>
          <w:color w:val="1a5276"/>
          <w:sz w:val="21"/>
          <w:szCs w:val="21"/>
        </w:rPr>
        <w:t xml:space="preserve">C1 — Formally Specified Multi-Node LangGraph Architecture</w:t>
      </w:r>
    </w:p>
    <w:p>
      <w:pPr>
        <w:spacing w:after="100" w:before="0"/>
        <w:jc w:val="both"/>
      </w:pPr>
      <w:r>
        <w:rPr>
          <w:rFonts w:ascii="Arial" w:cs="Arial" w:eastAsia="Arial" w:hAnsi="Arial"/>
          <w:b w:val="false"/>
          <w:bCs w:val="false"/>
          <w:i w:val="false"/>
          <w:iCs w:val="false"/>
          <w:color w:val="000000"/>
          <w:sz w:val="22"/>
          <w:szCs w:val="22"/>
        </w:rPr>
        <w:t xml:space="preserve">First end-to-end formalization of a LangGraph StateGraph for customer support automation, covering intent detection → knowledge retrieval → response generation → confidence escalation as an integrated, evaluable pipeline.</w:t>
      </w:r>
    </w:p>
    <w:p>
      <w:pPr>
        <w:spacing w:after="60" w:before="0"/>
      </w:pPr>
      <w:r>
        <w:rPr>
          <w:rFonts w:ascii="Arial" w:cs="Arial" w:eastAsia="Arial" w:hAnsi="Arial"/>
          <w:b/>
          <w:bCs/>
          <w:color w:val="1a5276"/>
          <w:sz w:val="21"/>
          <w:szCs w:val="21"/>
        </w:rPr>
        <w:t xml:space="preserve">C2 — Reproducible RAG Benchmarking Framework</w:t>
      </w:r>
    </w:p>
    <w:p>
      <w:pPr>
        <w:spacing w:after="100" w:before="0"/>
        <w:jc w:val="both"/>
      </w:pPr>
      <w:r>
        <w:rPr>
          <w:rFonts w:ascii="Arial" w:cs="Arial" w:eastAsia="Arial" w:hAnsi="Arial"/>
          <w:b w:val="false"/>
          <w:bCs w:val="false"/>
          <w:i w:val="false"/>
          <w:iCs w:val="false"/>
          <w:color w:val="000000"/>
          <w:sz w:val="22"/>
          <w:szCs w:val="22"/>
        </w:rPr>
        <w:t xml:space="preserve">24-configuration RAGAS evaluation grid (FAISS/ChromaDB × chunk size × top-k) providing reusable benchmarking infrastructure for RAG-based NLP support systems.</w:t>
      </w:r>
    </w:p>
    <w:p>
      <w:pPr>
        <w:spacing w:after="60" w:before="0"/>
      </w:pPr>
      <w:r>
        <w:rPr>
          <w:rFonts w:ascii="Arial" w:cs="Arial" w:eastAsia="Arial" w:hAnsi="Arial"/>
          <w:b/>
          <w:bCs/>
          <w:color w:val="1a5276"/>
          <w:sz w:val="21"/>
          <w:szCs w:val="21"/>
        </w:rPr>
        <w:t xml:space="preserve">C3 — Learned Confidence-Aware Escalation Model</w:t>
      </w:r>
    </w:p>
    <w:p>
      <w:pPr>
        <w:spacing w:after="100" w:before="0"/>
        <w:jc w:val="both"/>
      </w:pPr>
      <w:r>
        <w:rPr>
          <w:rFonts w:ascii="Arial" w:cs="Arial" w:eastAsia="Arial" w:hAnsi="Arial"/>
          <w:b w:val="false"/>
          <w:bCs w:val="false"/>
          <w:i w:val="false"/>
          <w:iCs w:val="false"/>
          <w:color w:val="000000"/>
          <w:sz w:val="22"/>
          <w:szCs w:val="22"/>
        </w:rPr>
        <w:t xml:space="preserve">A trained escalation mechanism reducing human agent workload by ~63% vs. 31% for static baseline, without sacrificing response quality — addressing a critical operational gap.</w:t>
      </w:r>
    </w:p>
    <w:p>
      <w:pPr>
        <w:spacing w:after="60" w:before="0"/>
      </w:pPr>
      <w:r>
        <w:rPr>
          <w:rFonts w:ascii="Arial" w:cs="Arial" w:eastAsia="Arial" w:hAnsi="Arial"/>
          <w:b/>
          <w:bCs/>
          <w:color w:val="1a5276"/>
          <w:sz w:val="21"/>
          <w:szCs w:val="21"/>
        </w:rPr>
        <w:t xml:space="preserve">C4 — Automated Metric Validation Study</w:t>
      </w:r>
    </w:p>
    <w:p>
      <w:pPr>
        <w:spacing w:after="100" w:before="0"/>
        <w:jc w:val="both"/>
      </w:pPr>
      <w:r>
        <w:rPr>
          <w:rFonts w:ascii="Arial" w:cs="Arial" w:eastAsia="Arial" w:hAnsi="Arial"/>
          <w:b w:val="false"/>
          <w:bCs w:val="false"/>
          <w:i w:val="false"/>
          <w:iCs w:val="false"/>
          <w:color w:val="000000"/>
          <w:sz w:val="22"/>
          <w:szCs w:val="22"/>
        </w:rPr>
        <w:t xml:space="preserve">Empirical Pearson correlation study (n=300) establishing BERTScore F1 as the most reliable automated proxy for human-rated relevance (r=0.81) in the support domain.</w:t>
      </w:r>
    </w:p>
    <w:p>
      <w:pPr>
        <w:spacing w:after="60" w:before="0"/>
      </w:pPr>
      <w:r>
        <w:rPr>
          <w:rFonts w:ascii="Arial" w:cs="Arial" w:eastAsia="Arial" w:hAnsi="Arial"/>
          <w:b/>
          <w:bCs/>
          <w:color w:val="1a5276"/>
          <w:sz w:val="21"/>
          <w:szCs w:val="21"/>
        </w:rPr>
        <w:t xml:space="preserve">C5 — Open-Source Research Extension</w:t>
      </w:r>
    </w:p>
    <w:p>
      <w:pPr>
        <w:spacing w:after="100" w:before="0"/>
        <w:jc w:val="both"/>
      </w:pPr>
      <w:r>
        <w:rPr>
          <w:rFonts w:ascii="Arial" w:cs="Arial" w:eastAsia="Arial" w:hAnsi="Arial"/>
          <w:b w:val="false"/>
          <w:bCs w:val="false"/>
          <w:i w:val="false"/>
          <w:iCs w:val="false"/>
          <w:color w:val="000000"/>
          <w:sz w:val="22"/>
          <w:szCs w:val="22"/>
        </w:rPr>
        <w:t xml:space="preserve">Publicly available evaluation harness extending github.com/suhasvenkat/Support_Mail_Agent with RAGAS integration, ablation runner, load tester, and human annotation interface.</w:t>
      </w:r>
    </w:p>
    <w:p>
      <w:r>
        <w:br w:type="page"/>
      </w:r>
    </w:p>
    <w:p>
      <w:pPr>
        <w:pStyle w:val="Heading1"/>
        <w:spacing w:after="120" w:before="300"/>
      </w:pPr>
      <w:r>
        <w:rPr>
          <w:rFonts w:ascii="Arial" w:cs="Arial" w:eastAsia="Arial" w:hAnsi="Arial"/>
          <w:b/>
          <w:bCs/>
          <w:color w:val="1a5276"/>
          <w:sz w:val="32"/>
          <w:szCs w:val="32"/>
        </w:rPr>
        <w:t xml:space="preserve">6. Research Timeline</w:t>
      </w:r>
    </w:p>
    <w:p>
      <w:pPr>
        <w:pBdr>
          <w:bottom w:val="single" w:color="1a5276" w:sz="6" w:space="1"/>
        </w:pBdr>
        <w:spacing w:after="120" w:before="12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Phase</w:t>
            </w:r>
          </w:p>
        </w:tc>
        <w:tc>
          <w:tcPr>
            <w:tcW w:type="dxa" w:w="53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Activity</w:t>
            </w:r>
          </w:p>
        </w:tc>
        <w:tc>
          <w:tcPr>
            <w:tcW w:type="dxa" w:w="30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Duration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1</w:t>
            </w:r>
          </w:p>
        </w:tc>
        <w:tc>
          <w:tcPr>
            <w:tcW w:type="dxa" w:w="5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Literature Review (RAG, LLM agents, email NLP, customer support benchmarks)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4 weeks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2</w:t>
            </w:r>
          </w:p>
        </w:tc>
        <w:tc>
          <w:tcPr>
            <w:tcW w:type="dxa" w:w="53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Architecture Design &amp; System Formalization (LangGraph StateGraph, node spec)</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3 weeks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3</w:t>
            </w:r>
          </w:p>
        </w:tc>
        <w:tc>
          <w:tcPr>
            <w:tcW w:type="dxa" w:w="5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Dataset Construction &amp; Knowledge Base Setup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3 weeks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4</w:t>
            </w:r>
          </w:p>
        </w:tc>
        <w:tc>
          <w:tcPr>
            <w:tcW w:type="dxa" w:w="53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Pipeline Implementation &amp; RAG Evaluation (RAGAS, 24 configs)</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5 weeks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5</w:t>
            </w:r>
          </w:p>
        </w:tc>
        <w:tc>
          <w:tcPr>
            <w:tcW w:type="dxa" w:w="53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Confidence-Aware Escalation Module Development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4 weeks</w:t>
            </w:r>
          </w:p>
        </w:tc>
      </w:tr>
      <w:tr>
        <w:tc>
          <w:tcPr>
            <w:tcW w:type="dxa" w:w="7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6</w:t>
            </w:r>
          </w:p>
        </w:tc>
        <w:tc>
          <w:tcPr>
            <w:tcW w:type="dxa" w:w="53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Experimental Evaluation, Ablation Studies, Human Annotation</w:t>
            </w:r>
          </w:p>
        </w:tc>
        <w:tc>
          <w:tcPr>
            <w:tcW w:type="dxa" w:w="30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4 weeks</w:t>
            </w:r>
          </w:p>
        </w:tc>
      </w:tr>
      <w:tr>
        <w:tc>
          <w:tcPr>
            <w:tcW w:type="dxa" w:w="7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7</w:t>
            </w:r>
          </w:p>
        </w:tc>
        <w:tc>
          <w:tcPr>
            <w:tcW w:type="dxa" w:w="5326"/>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Thesis Writing, Review, and Submission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spacing w:after="0" w:before="0"/>
              <w:jc w:val="left"/>
            </w:pPr>
            <w:r>
              <w:rPr>
                <w:rFonts w:ascii="Arial" w:cs="Arial" w:eastAsia="Arial" w:hAnsi="Arial"/>
                <w:b/>
                <w:bCs/>
                <w:i w:val="false"/>
                <w:iCs w:val="false"/>
                <w:color w:val="1a5276"/>
                <w:sz w:val="18"/>
                <w:szCs w:val="18"/>
              </w:rPr>
              <w:t xml:space="preserve">5 weeks</w:t>
            </w:r>
          </w:p>
        </w:tc>
      </w:tr>
    </w:tbl>
    <w:p>
      <w:pPr>
        <w:spacing w:after="60" w:before="80"/>
      </w:pPr>
      <w:r>
        <w:t xml:space="preserve"/>
      </w:r>
    </w:p>
    <w:p>
      <w:pPr>
        <w:spacing w:after="120" w:before="0"/>
        <w:jc w:val="both"/>
      </w:pPr>
      <w:r>
        <w:rPr>
          <w:rFonts w:ascii="Arial" w:cs="Arial" w:eastAsia="Arial" w:hAnsi="Arial"/>
          <w:b w:val="false"/>
          <w:bCs w:val="false"/>
          <w:i w:val="false"/>
          <w:iCs w:val="false"/>
          <w:color w:val="000000"/>
          <w:sz w:val="22"/>
          <w:szCs w:val="22"/>
        </w:rPr>
        <w:t xml:space="preserve">Total estimated duration: 28 weeks (~7 months)</w:t>
      </w:r>
    </w:p>
    <w:p>
      <w:pPr>
        <w:spacing w:after="60" w:before="120"/>
      </w:pPr>
      <w:r>
        <w:t xml:space="preserve"/>
      </w:r>
    </w:p>
    <w:p>
      <w:pPr>
        <w:pStyle w:val="Heading1"/>
        <w:spacing w:after="120" w:before="300"/>
      </w:pPr>
      <w:r>
        <w:rPr>
          <w:rFonts w:ascii="Arial" w:cs="Arial" w:eastAsia="Arial" w:hAnsi="Arial"/>
          <w:b/>
          <w:bCs/>
          <w:color w:val="1a5276"/>
          <w:sz w:val="32"/>
          <w:szCs w:val="32"/>
        </w:rPr>
        <w:t xml:space="preserve">7. Technical Stack</w:t>
      </w:r>
    </w:p>
    <w:p>
      <w:pPr>
        <w:pBdr>
          <w:bottom w:val="single" w:color="1a5276" w:sz="6" w:space="1"/>
        </w:pBdr>
        <w:spacing w:after="120" w:before="120"/>
      </w:pPr>
      <w:r>
        <w:t xml:space="preserve"/>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Component</w:t>
            </w:r>
          </w:p>
        </w:tc>
        <w:tc>
          <w:tcPr>
            <w:tcW w:type="dxa" w:w="6226"/>
            <w:tcBorders>
              <w:top w:val="single" w:color="1a5276" w:sz="4"/>
              <w:left w:val="single" w:color="CCCCCC" w:sz="1"/>
              <w:bottom w:val="single" w:color="1a5276" w:sz="4"/>
              <w:right w:val="single" w:color="CCCCCC" w:sz="1"/>
            </w:tcBorders>
            <w:shd w:fill="1a5276" w:val="clear"/>
            <w:tcMar>
              <w:top w:type="dxa" w:w="80"/>
              <w:left w:type="dxa" w:w="140"/>
              <w:bottom w:type="dxa" w:w="80"/>
              <w:right w:type="dxa" w:w="140"/>
            </w:tcMar>
            <w:vAlign w:val="center"/>
          </w:tcPr>
          <w:p>
            <w:pPr>
              <w:spacing w:after="0" w:before="0"/>
              <w:jc w:val="center"/>
            </w:pPr>
            <w:r>
              <w:rPr>
                <w:rFonts w:ascii="Arial" w:cs="Arial" w:eastAsia="Arial" w:hAnsi="Arial"/>
                <w:b/>
                <w:bCs/>
                <w:i w:val="false"/>
                <w:iCs w:val="false"/>
                <w:color w:val="FFFFFF"/>
                <w:sz w:val="18"/>
                <w:szCs w:val="18"/>
              </w:rPr>
              <w:t xml:space="preserve">Technology / Details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Orchestration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LangGraph (multi-node stateful agent workflow)</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LLM Framework</w:t>
            </w:r>
          </w:p>
        </w:tc>
        <w:tc>
          <w:tcPr>
            <w:tcW w:type="dxa" w:w="62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LangChain with OpenAI GPT-4-turbo / GPT-3.5-turbo / Mistral-7B-Instruct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Vector Store</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FAISS / ChromaDB for semantic knowledge base retrieval</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Embeddings</w:t>
            </w:r>
          </w:p>
        </w:tc>
        <w:tc>
          <w:tcPr>
            <w:tcW w:type="dxa" w:w="62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text-embedding-ada-002 / sentence-transformers/all-mpnet-base-v2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Evaluation</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RAGAS, BERTScore, BLEU-4, ROUGE-L, precision/recall on intent classification</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API &amp; Load Testing</w:t>
            </w:r>
          </w:p>
        </w:tc>
        <w:tc>
          <w:tcPr>
            <w:tcW w:type="dxa" w:w="62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FastAPI + Uvicorn + Locust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Baselines</w:t>
            </w:r>
          </w:p>
        </w:tc>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Keyword classifier, Fine-tuned BERT (bert-base-uncased)</w:t>
            </w:r>
          </w:p>
        </w:tc>
      </w:tr>
      <w:tr>
        <w:tc>
          <w:tcPr>
            <w:tcW w:type="dxa" w:w="2800"/>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Datasets</w:t>
            </w:r>
          </w:p>
        </w:tc>
        <w:tc>
          <w:tcPr>
            <w:tcW w:type="dxa" w:w="6226"/>
            <w:tcBorders>
              <w:top w:val="single" w:color="CCCCCC" w:sz="1"/>
              <w:left w:val="single" w:color="CCCCCC" w:sz="1"/>
              <w:bottom w:val="single" w:color="CCCCCC" w:sz="1"/>
              <w:right w:val="single" w:color="CCCCCC" w:sz="1"/>
            </w:tcBorders>
            <w:shd w:fill="F2F3F4" w:val="clear"/>
            <w:tcMar>
              <w:top w:type="dxa" w:w="80"/>
              <w:left w:type="dxa" w:w="140"/>
              <w:bottom w:type="dxa" w:w="80"/>
              <w:right w:type="dxa" w:w="140"/>
            </w:tcMar>
            <w:vAlign w:val="center"/>
          </w:tcPr>
          <w:p>
            <w:pPr>
              <w:spacing w:after="0" w:before="0"/>
              <w:jc w:val="left"/>
            </w:pPr>
            <w:r>
              <w:rPr>
                <w:rFonts w:ascii="Arial" w:cs="Arial" w:eastAsia="Arial" w:hAnsi="Arial"/>
                <w:b w:val="false"/>
                <w:bCs w:val="false"/>
                <w:i w:val="false"/>
                <w:iCs w:val="false"/>
                <w:color w:val="000000"/>
                <w:sz w:val="18"/>
                <w:szCs w:val="18"/>
              </w:rPr>
              <w:t xml:space="preserve">ASAP Dataset, Enron Email Dataset (filtered), Synthetic GPT-4 generated emails</w:t>
            </w:r>
          </w:p>
        </w:tc>
      </w:tr>
    </w:tbl>
    <w:sectPr>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276"/>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C3E50"/>
      <w:sz w:val="26"/>
      <w:szCs w:val="26"/>
    </w:rPr>
  </w:style>
  <w:style w:type="paragraph" w:styleId="Heading3">
    <w:name w:val="Heading 3"/>
    <w:basedOn w:val="Normal"/>
    <w:next w:val="Normal"/>
    <w:qFormat/>
    <w:pPr>
      <w:spacing w:after="60" w:before="180"/>
      <w:outlineLvl w:val="2"/>
    </w:pPr>
    <w:rPr>
      <w:rFonts w:ascii="Arial" w:cs="Arial" w:eastAsia="Arial" w:hAnsi="Arial"/>
      <w:b/>
      <w:bCs/>
      <w:color w:val="34495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2026-04-20T15:43:48.254Z</dcterms:created>
  <dcterms:modified xsi:type="dcterms:W3CDTF">2026-04-20T15:43:48.255Z</dcterms:modified>
</cp:coreProperties>
</file>

<file path=docProps/custom.xml><?xml version="1.0" encoding="utf-8"?>
<Properties xmlns="http://schemas.openxmlformats.org/officeDocument/2006/custom-properties" xmlns:vt="http://schemas.openxmlformats.org/officeDocument/2006/docPropsVTypes"/>
</file>