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dex-visual-studio-master-build-prompt"/>
    <w:p>
      <w:pPr>
        <w:pStyle w:val="Heading1"/>
      </w:pPr>
      <w:r>
        <w:t xml:space="preserve">05 — Codex + Visual Studio Master Build Prompt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Adopta Platform — Digital Adoption Platform SaaS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Production-grade implementation prompt for Codex working in Visual Studio, GitHub, and Azure.</w:t>
      </w:r>
      <w:r>
        <w:br/>
      </w:r>
      <w:r>
        <w:rPr>
          <w:b/>
          <w:bCs/>
        </w:rPr>
        <w:t xml:space="preserve">Principle:</w:t>
      </w:r>
      <w:r>
        <w:t xml:space="preserve"> </w:t>
      </w:r>
      <w:r>
        <w:t xml:space="preserve">This is not a prototype. Every sprint delivers production-grade, secure, tested, multi-tenant SaaS capability.</w:t>
      </w:r>
    </w:p>
    <w:p>
      <w:r>
        <w:pict>
          <v:rect style="width:0;height:1.5pt" o:hralign="center" o:hrstd="t" o:hr="t"/>
        </w:pict>
      </w:r>
    </w:p>
    <w:bookmarkStart w:id="20" w:name="mission-for-codex"/>
    <w:p>
      <w:pPr>
        <w:pStyle w:val="Heading2"/>
      </w:pPr>
      <w:r>
        <w:t xml:space="preserve">1. Mission for Codex</w:t>
      </w:r>
    </w:p>
    <w:p>
      <w:pPr>
        <w:pStyle w:val="FirstParagraph"/>
      </w:pPr>
      <w:r>
        <w:t xml:space="preserve">You are the lead engineering agent building a production-grade, multi-tenant SaaS Digital Adoption Platform that can be integrated with Property MTD later and reused across future products.</w:t>
      </w:r>
    </w:p>
    <w:p>
      <w:pPr>
        <w:pStyle w:val="BodyText"/>
      </w:pPr>
      <w:r>
        <w:t xml:space="preserve">You must use a Microsoft-secured architecture:</w:t>
      </w:r>
    </w:p>
    <w:p>
      <w:pPr>
        <w:pStyle w:val="Compact"/>
        <w:numPr>
          <w:ilvl w:val="0"/>
          <w:numId w:val="1001"/>
        </w:numPr>
      </w:pPr>
      <w:r>
        <w:t xml:space="preserve">Microsoft Entra ID for workforce/admin users.</w:t>
      </w:r>
    </w:p>
    <w:p>
      <w:pPr>
        <w:pStyle w:val="Compact"/>
        <w:numPr>
          <w:ilvl w:val="0"/>
          <w:numId w:val="1001"/>
        </w:numPr>
      </w:pPr>
      <w:r>
        <w:t xml:space="preserve">Microsoft Entra External ID for customer/external users.</w:t>
      </w:r>
    </w:p>
    <w:p>
      <w:pPr>
        <w:pStyle w:val="Compact"/>
        <w:numPr>
          <w:ilvl w:val="0"/>
          <w:numId w:val="1001"/>
        </w:numPr>
      </w:pPr>
      <w:r>
        <w:t xml:space="preserve">No Azure AD B2C for new greenfield work.</w:t>
      </w:r>
    </w:p>
    <w:p>
      <w:pPr>
        <w:pStyle w:val="Compact"/>
        <w:numPr>
          <w:ilvl w:val="0"/>
          <w:numId w:val="1001"/>
        </w:numPr>
      </w:pPr>
      <w:r>
        <w:t xml:space="preserve">Azure Key Vault for secrets.</w:t>
      </w:r>
    </w:p>
    <w:p>
      <w:pPr>
        <w:pStyle w:val="Compact"/>
        <w:numPr>
          <w:ilvl w:val="0"/>
          <w:numId w:val="1001"/>
        </w:numPr>
      </w:pPr>
      <w:r>
        <w:t xml:space="preserve">Managed identities for service-to-service Azure access.</w:t>
      </w:r>
    </w:p>
    <w:p>
      <w:pPr>
        <w:pStyle w:val="Compact"/>
        <w:numPr>
          <w:ilvl w:val="0"/>
          <w:numId w:val="1001"/>
        </w:numPr>
      </w:pPr>
      <w:r>
        <w:t xml:space="preserve">Tenant isolation enforced in API, database, storage, analytics, cache, and AI retrieval.</w:t>
      </w:r>
    </w:p>
    <w:p>
      <w:pPr>
        <w:pStyle w:val="Compact"/>
        <w:numPr>
          <w:ilvl w:val="0"/>
          <w:numId w:val="1001"/>
        </w:numPr>
      </w:pPr>
      <w:r>
        <w:t xml:space="preserve">RBAC and audit logging from the first sprint.</w:t>
      </w:r>
    </w:p>
    <w:p>
      <w:pPr>
        <w:pStyle w:val="FirstParagraph"/>
      </w:pPr>
      <w:r>
        <w:t xml:space="preserve">You must work efficiently in:</w:t>
      </w:r>
    </w:p>
    <w:p>
      <w:pPr>
        <w:pStyle w:val="Compact"/>
        <w:numPr>
          <w:ilvl w:val="0"/>
          <w:numId w:val="1002"/>
        </w:numPr>
      </w:pPr>
      <w:r>
        <w:t xml:space="preserve">Visual Studio / Visual Studio Code as appropriate.</w:t>
      </w:r>
    </w:p>
    <w:p>
      <w:pPr>
        <w:pStyle w:val="Compact"/>
        <w:numPr>
          <w:ilvl w:val="0"/>
          <w:numId w:val="1002"/>
        </w:numPr>
      </w:pPr>
      <w:r>
        <w:t xml:space="preserve">Codex.</w:t>
      </w:r>
    </w:p>
    <w:p>
      <w:pPr>
        <w:pStyle w:val="Compact"/>
        <w:numPr>
          <w:ilvl w:val="0"/>
          <w:numId w:val="1002"/>
        </w:numPr>
      </w:pPr>
      <w:r>
        <w:t xml:space="preserve">GitHub.</w:t>
      </w:r>
    </w:p>
    <w:p>
      <w:pPr>
        <w:pStyle w:val="Compact"/>
        <w:numPr>
          <w:ilvl w:val="0"/>
          <w:numId w:val="1002"/>
        </w:numPr>
      </w:pPr>
      <w:r>
        <w:t xml:space="preserve">GitHub Actions.</w:t>
      </w:r>
    </w:p>
    <w:p>
      <w:pPr>
        <w:pStyle w:val="Compact"/>
        <w:numPr>
          <w:ilvl w:val="0"/>
          <w:numId w:val="1002"/>
        </w:numPr>
      </w:pPr>
      <w:r>
        <w:t xml:space="preserve">Azure.</w:t>
      </w:r>
    </w:p>
    <w:p>
      <w:pPr>
        <w:pStyle w:val="FirstParagraph"/>
      </w:pPr>
      <w:r>
        <w:t xml:space="preserve">You must build in small, reviewable PRs. Every PR must include:</w:t>
      </w:r>
    </w:p>
    <w:p>
      <w:pPr>
        <w:pStyle w:val="Compact"/>
        <w:numPr>
          <w:ilvl w:val="0"/>
          <w:numId w:val="1003"/>
        </w:numPr>
      </w:pPr>
      <w:r>
        <w:t xml:space="preserve">requirement IDs implemented;</w:t>
      </w:r>
    </w:p>
    <w:p>
      <w:pPr>
        <w:pStyle w:val="Compact"/>
        <w:numPr>
          <w:ilvl w:val="0"/>
          <w:numId w:val="1003"/>
        </w:numPr>
      </w:pPr>
      <w:r>
        <w:t xml:space="preserve">changed files summary;</w:t>
      </w:r>
    </w:p>
    <w:p>
      <w:pPr>
        <w:pStyle w:val="Compact"/>
        <w:numPr>
          <w:ilvl w:val="0"/>
          <w:numId w:val="1003"/>
        </w:numPr>
      </w:pPr>
      <w:r>
        <w:t xml:space="preserve">tests added/updated;</w:t>
      </w:r>
    </w:p>
    <w:p>
      <w:pPr>
        <w:pStyle w:val="Compact"/>
        <w:numPr>
          <w:ilvl w:val="0"/>
          <w:numId w:val="1003"/>
        </w:numPr>
      </w:pPr>
      <w:r>
        <w:t xml:space="preserve">security/tenant-isolation impact;</w:t>
      </w:r>
    </w:p>
    <w:p>
      <w:pPr>
        <w:pStyle w:val="Compact"/>
        <w:numPr>
          <w:ilvl w:val="0"/>
          <w:numId w:val="1003"/>
        </w:numPr>
      </w:pPr>
      <w:r>
        <w:t xml:space="preserve">acceptance criteria evidence;</w:t>
      </w:r>
    </w:p>
    <w:p>
      <w:pPr>
        <w:pStyle w:val="Compact"/>
        <w:numPr>
          <w:ilvl w:val="0"/>
          <w:numId w:val="1003"/>
        </w:numPr>
      </w:pPr>
      <w:r>
        <w:t xml:space="preserve">commands run;</w:t>
      </w:r>
    </w:p>
    <w:p>
      <w:pPr>
        <w:pStyle w:val="Compact"/>
        <w:numPr>
          <w:ilvl w:val="0"/>
          <w:numId w:val="1003"/>
        </w:numPr>
      </w:pPr>
      <w:r>
        <w:t xml:space="preserve">any assumptions made.</w:t>
      </w:r>
    </w:p>
    <w:p>
      <w:pPr>
        <w:pStyle w:val="FirstParagraph"/>
      </w:pPr>
      <w:r>
        <w:t xml:space="preserve">Never weaken tenant isolation, never collect sensitive Property MTD data by default, and never alter HMRC submission, authentication, tax calculation, or compliance workflows unless explicitly instructed.</w:t>
      </w:r>
    </w:p>
    <w:p>
      <w:r>
        <w:pict>
          <v:rect style="width:0;height:1.5pt" o:hralign="center" o:hrstd="t" o:hr="t"/>
        </w:pict>
      </w:r>
    </w:p>
    <w:bookmarkEnd w:id="20"/>
    <w:bookmarkStart w:id="21" w:name="authoritative-product-scope"/>
    <w:p>
      <w:pPr>
        <w:pStyle w:val="Heading2"/>
      </w:pPr>
      <w:r>
        <w:t xml:space="preserve">2. Authoritative product scope</w:t>
      </w:r>
    </w:p>
    <w:p>
      <w:pPr>
        <w:pStyle w:val="FirstParagraph"/>
      </w:pPr>
      <w:r>
        <w:t xml:space="preserve">The platform shall provide:</w:t>
      </w:r>
    </w:p>
    <w:p>
      <w:pPr>
        <w:pStyle w:val="Compact"/>
        <w:numPr>
          <w:ilvl w:val="0"/>
          <w:numId w:val="1004"/>
        </w:numPr>
      </w:pPr>
      <w:r>
        <w:t xml:space="preserve">embeddable runtime SDK;</w:t>
      </w:r>
    </w:p>
    <w:p>
      <w:pPr>
        <w:pStyle w:val="Compact"/>
        <w:numPr>
          <w:ilvl w:val="0"/>
          <w:numId w:val="1004"/>
        </w:numPr>
      </w:pPr>
      <w:r>
        <w:t xml:space="preserve">Property MTD Blazor integration contract;</w:t>
      </w:r>
    </w:p>
    <w:p>
      <w:pPr>
        <w:pStyle w:val="Compact"/>
        <w:numPr>
          <w:ilvl w:val="0"/>
          <w:numId w:val="1004"/>
        </w:numPr>
      </w:pPr>
      <w:r>
        <w:t xml:space="preserve">no-code authoring studio;</w:t>
      </w:r>
    </w:p>
    <w:p>
      <w:pPr>
        <w:pStyle w:val="Compact"/>
        <w:numPr>
          <w:ilvl w:val="0"/>
          <w:numId w:val="1004"/>
        </w:numPr>
      </w:pPr>
      <w:r>
        <w:t xml:space="preserve">walkthroughs;</w:t>
      </w:r>
    </w:p>
    <w:p>
      <w:pPr>
        <w:pStyle w:val="Compact"/>
        <w:numPr>
          <w:ilvl w:val="0"/>
          <w:numId w:val="1004"/>
        </w:numPr>
      </w:pPr>
      <w:r>
        <w:t xml:space="preserve">tooltips;</w:t>
      </w:r>
    </w:p>
    <w:p>
      <w:pPr>
        <w:pStyle w:val="Compact"/>
        <w:numPr>
          <w:ilvl w:val="0"/>
          <w:numId w:val="1004"/>
        </w:numPr>
      </w:pPr>
      <w:r>
        <w:t xml:space="preserve">smart tips;</w:t>
      </w:r>
    </w:p>
    <w:p>
      <w:pPr>
        <w:pStyle w:val="Compact"/>
        <w:numPr>
          <w:ilvl w:val="0"/>
          <w:numId w:val="1004"/>
        </w:numPr>
      </w:pPr>
      <w:r>
        <w:t xml:space="preserve">banners;</w:t>
      </w:r>
    </w:p>
    <w:p>
      <w:pPr>
        <w:pStyle w:val="Compact"/>
        <w:numPr>
          <w:ilvl w:val="0"/>
          <w:numId w:val="1004"/>
        </w:numPr>
      </w:pPr>
      <w:r>
        <w:t xml:space="preserve">modals;</w:t>
      </w:r>
    </w:p>
    <w:p>
      <w:pPr>
        <w:pStyle w:val="Compact"/>
        <w:numPr>
          <w:ilvl w:val="0"/>
          <w:numId w:val="1004"/>
        </w:numPr>
      </w:pPr>
      <w:r>
        <w:t xml:space="preserve">launchers;</w:t>
      </w:r>
    </w:p>
    <w:p>
      <w:pPr>
        <w:pStyle w:val="Compact"/>
        <w:numPr>
          <w:ilvl w:val="0"/>
          <w:numId w:val="1004"/>
        </w:numPr>
      </w:pPr>
      <w:r>
        <w:t xml:space="preserve">onboarding checklists;</w:t>
      </w:r>
    </w:p>
    <w:p>
      <w:pPr>
        <w:pStyle w:val="Compact"/>
        <w:numPr>
          <w:ilvl w:val="0"/>
          <w:numId w:val="1004"/>
        </w:numPr>
      </w:pPr>
      <w:r>
        <w:t xml:space="preserve">resource centre;</w:t>
      </w:r>
    </w:p>
    <w:p>
      <w:pPr>
        <w:pStyle w:val="Compact"/>
        <w:numPr>
          <w:ilvl w:val="0"/>
          <w:numId w:val="1004"/>
        </w:numPr>
      </w:pPr>
      <w:r>
        <w:t xml:space="preserve">surveys;</w:t>
      </w:r>
    </w:p>
    <w:p>
      <w:pPr>
        <w:pStyle w:val="Compact"/>
        <w:numPr>
          <w:ilvl w:val="0"/>
          <w:numId w:val="1004"/>
        </w:numPr>
      </w:pPr>
      <w:r>
        <w:t xml:space="preserve">segmentation;</w:t>
      </w:r>
    </w:p>
    <w:p>
      <w:pPr>
        <w:pStyle w:val="Compact"/>
        <w:numPr>
          <w:ilvl w:val="0"/>
          <w:numId w:val="1004"/>
        </w:numPr>
      </w:pPr>
      <w:r>
        <w:t xml:space="preserve">targeting;</w:t>
      </w:r>
    </w:p>
    <w:p>
      <w:pPr>
        <w:pStyle w:val="Compact"/>
        <w:numPr>
          <w:ilvl w:val="0"/>
          <w:numId w:val="1004"/>
        </w:numPr>
      </w:pPr>
      <w:r>
        <w:t xml:space="preserve">content governance;</w:t>
      </w:r>
    </w:p>
    <w:p>
      <w:pPr>
        <w:pStyle w:val="Compact"/>
        <w:numPr>
          <w:ilvl w:val="0"/>
          <w:numId w:val="1004"/>
        </w:numPr>
      </w:pPr>
      <w:r>
        <w:t xml:space="preserve">analytics;</w:t>
      </w:r>
    </w:p>
    <w:p>
      <w:pPr>
        <w:pStyle w:val="Compact"/>
        <w:numPr>
          <w:ilvl w:val="0"/>
          <w:numId w:val="1004"/>
        </w:numPr>
      </w:pPr>
      <w:r>
        <w:t xml:space="preserve">friction detection;</w:t>
      </w:r>
    </w:p>
    <w:p>
      <w:pPr>
        <w:pStyle w:val="Compact"/>
        <w:numPr>
          <w:ilvl w:val="0"/>
          <w:numId w:val="1004"/>
        </w:numPr>
      </w:pPr>
      <w:r>
        <w:t xml:space="preserve">AI-assisted authoring;</w:t>
      </w:r>
    </w:p>
    <w:p>
      <w:pPr>
        <w:pStyle w:val="Compact"/>
        <w:numPr>
          <w:ilvl w:val="0"/>
          <w:numId w:val="1004"/>
        </w:numPr>
      </w:pPr>
      <w:r>
        <w:t xml:space="preserve">RAG-grounded self-help assistant;</w:t>
      </w:r>
    </w:p>
    <w:p>
      <w:pPr>
        <w:pStyle w:val="Compact"/>
        <w:numPr>
          <w:ilvl w:val="0"/>
          <w:numId w:val="1004"/>
        </w:numPr>
      </w:pPr>
      <w:r>
        <w:t xml:space="preserve">tenant administration;</w:t>
      </w:r>
    </w:p>
    <w:p>
      <w:pPr>
        <w:pStyle w:val="Compact"/>
        <w:numPr>
          <w:ilvl w:val="0"/>
          <w:numId w:val="1004"/>
        </w:numPr>
      </w:pPr>
      <w:r>
        <w:t xml:space="preserve">RBAC;</w:t>
      </w:r>
    </w:p>
    <w:p>
      <w:pPr>
        <w:pStyle w:val="Compact"/>
        <w:numPr>
          <w:ilvl w:val="0"/>
          <w:numId w:val="1004"/>
        </w:numPr>
      </w:pPr>
      <w:r>
        <w:t xml:space="preserve">audit;</w:t>
      </w:r>
    </w:p>
    <w:p>
      <w:pPr>
        <w:pStyle w:val="Compact"/>
        <w:numPr>
          <w:ilvl w:val="0"/>
          <w:numId w:val="1004"/>
        </w:numPr>
      </w:pPr>
      <w:r>
        <w:t xml:space="preserve">environments;</w:t>
      </w:r>
    </w:p>
    <w:p>
      <w:pPr>
        <w:pStyle w:val="Compact"/>
        <w:numPr>
          <w:ilvl w:val="0"/>
          <w:numId w:val="1004"/>
        </w:numPr>
      </w:pPr>
      <w:r>
        <w:t xml:space="preserve">versioning;</w:t>
      </w:r>
    </w:p>
    <w:p>
      <w:pPr>
        <w:pStyle w:val="Compact"/>
        <w:numPr>
          <w:ilvl w:val="0"/>
          <w:numId w:val="1004"/>
        </w:numPr>
      </w:pPr>
      <w:r>
        <w:t xml:space="preserve">rollback;</w:t>
      </w:r>
    </w:p>
    <w:p>
      <w:pPr>
        <w:pStyle w:val="Compact"/>
        <w:numPr>
          <w:ilvl w:val="0"/>
          <w:numId w:val="1004"/>
        </w:numPr>
      </w:pPr>
      <w:r>
        <w:t xml:space="preserve">data export;</w:t>
      </w:r>
    </w:p>
    <w:p>
      <w:pPr>
        <w:pStyle w:val="Compact"/>
        <w:numPr>
          <w:ilvl w:val="0"/>
          <w:numId w:val="1004"/>
        </w:numPr>
      </w:pPr>
      <w:r>
        <w:t xml:space="preserve">extension mode for third-party apps.</w:t>
      </w:r>
    </w:p>
    <w:p>
      <w:pPr>
        <w:pStyle w:val="FirstParagraph"/>
      </w:pPr>
      <w:r>
        <w:t xml:space="preserve">The platform shall support two delivery modes: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First-party SDK mode</w:t>
      </w:r>
      <w:r>
        <w:t xml:space="preserve"> </w:t>
      </w:r>
      <w:r>
        <w:t xml:space="preserve">for Property MTD and future owned applications.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Browser extension mode</w:t>
      </w:r>
      <w:r>
        <w:t xml:space="preserve"> </w:t>
      </w:r>
      <w:r>
        <w:t xml:space="preserve">for third-party applications where source access is not available.</w:t>
      </w:r>
    </w:p>
    <w:p>
      <w:pPr>
        <w:pStyle w:val="FirstParagraph"/>
      </w:pPr>
      <w:r>
        <w:t xml:space="preserve">For Property MTD, SDK mode is the primary integration path, but Property MTD repository changes occur later through a controlled integration branch.</w:t>
      </w:r>
    </w:p>
    <w:p>
      <w:r>
        <w:pict>
          <v:rect style="width:0;height:1.5pt" o:hralign="center" o:hrstd="t" o:hr="t"/>
        </w:pict>
      </w:r>
    </w:p>
    <w:bookmarkEnd w:id="21"/>
    <w:bookmarkStart w:id="28" w:name="technology-stack"/>
    <w:p>
      <w:pPr>
        <w:pStyle w:val="Heading2"/>
      </w:pPr>
      <w:r>
        <w:t xml:space="preserve">3. Technology stack</w:t>
      </w:r>
    </w:p>
    <w:p>
      <w:pPr>
        <w:pStyle w:val="FirstParagraph"/>
      </w:pPr>
      <w:r>
        <w:t xml:space="preserve">Use this default stack unless a repository-specific constraint requires otherwise.</w:t>
      </w:r>
    </w:p>
    <w:bookmarkStart w:id="22" w:name="backendcontrol-plane"/>
    <w:p>
      <w:pPr>
        <w:pStyle w:val="Heading3"/>
      </w:pPr>
      <w:r>
        <w:t xml:space="preserve">Backend/control plane</w:t>
      </w:r>
    </w:p>
    <w:p>
      <w:pPr>
        <w:pStyle w:val="Compact"/>
        <w:numPr>
          <w:ilvl w:val="0"/>
          <w:numId w:val="1006"/>
        </w:numPr>
      </w:pPr>
      <w:r>
        <w:t xml:space="preserve">.NET 9 / ASP.NET Core.</w:t>
      </w:r>
    </w:p>
    <w:p>
      <w:pPr>
        <w:pStyle w:val="Compact"/>
        <w:numPr>
          <w:ilvl w:val="0"/>
          <w:numId w:val="1006"/>
        </w:numPr>
      </w:pPr>
      <w:r>
        <w:t xml:space="preserve">Clean Architecture or modular vertical-slice architecture.</w:t>
      </w:r>
    </w:p>
    <w:p>
      <w:pPr>
        <w:pStyle w:val="Compact"/>
        <w:numPr>
          <w:ilvl w:val="0"/>
          <w:numId w:val="1006"/>
        </w:numPr>
      </w:pPr>
      <w:r>
        <w:t xml:space="preserve">EF Core.</w:t>
      </w:r>
    </w:p>
    <w:p>
      <w:pPr>
        <w:pStyle w:val="Compact"/>
        <w:numPr>
          <w:ilvl w:val="0"/>
          <w:numId w:val="1006"/>
        </w:numPr>
      </w:pPr>
      <w:r>
        <w:t xml:space="preserve">Azure SQL with Row-Level Security or Azure PostgreSQL with RLS.</w:t>
      </w:r>
    </w:p>
    <w:p>
      <w:pPr>
        <w:pStyle w:val="Compact"/>
        <w:numPr>
          <w:ilvl w:val="0"/>
          <w:numId w:val="1006"/>
        </w:numPr>
      </w:pPr>
      <w:r>
        <w:t xml:space="preserve">OpenAPI/Swagger.</w:t>
      </w:r>
    </w:p>
    <w:p>
      <w:pPr>
        <w:pStyle w:val="Compact"/>
        <w:numPr>
          <w:ilvl w:val="0"/>
          <w:numId w:val="1006"/>
        </w:numPr>
      </w:pPr>
      <w:r>
        <w:t xml:space="preserve">FluentValidation or equivalent.</w:t>
      </w:r>
    </w:p>
    <w:p>
      <w:pPr>
        <w:pStyle w:val="Compact"/>
        <w:numPr>
          <w:ilvl w:val="0"/>
          <w:numId w:val="1006"/>
        </w:numPr>
      </w:pPr>
      <w:r>
        <w:t xml:space="preserve">xUnit/NUnit for tests.</w:t>
      </w:r>
    </w:p>
    <w:p>
      <w:pPr>
        <w:pStyle w:val="Compact"/>
        <w:numPr>
          <w:ilvl w:val="0"/>
          <w:numId w:val="1006"/>
        </w:numPr>
      </w:pPr>
      <w:r>
        <w:t xml:space="preserve">OpenTelemetry.</w:t>
      </w:r>
    </w:p>
    <w:bookmarkEnd w:id="22"/>
    <w:bookmarkStart w:id="23" w:name="admin-ui"/>
    <w:p>
      <w:pPr>
        <w:pStyle w:val="Heading3"/>
      </w:pPr>
      <w:r>
        <w:t xml:space="preserve">Admin UI</w:t>
      </w:r>
    </w:p>
    <w:p>
      <w:pPr>
        <w:pStyle w:val="Compact"/>
        <w:numPr>
          <w:ilvl w:val="0"/>
          <w:numId w:val="1007"/>
        </w:numPr>
      </w:pPr>
      <w:r>
        <w:t xml:space="preserve">Blazor Web App preferred for Visual Studio and Property MTD alignment.</w:t>
      </w:r>
    </w:p>
    <w:p>
      <w:pPr>
        <w:pStyle w:val="Compact"/>
        <w:numPr>
          <w:ilvl w:val="0"/>
          <w:numId w:val="1007"/>
        </w:numPr>
      </w:pPr>
      <w:r>
        <w:t xml:space="preserve">Use a componentised design system.</w:t>
      </w:r>
    </w:p>
    <w:p>
      <w:pPr>
        <w:pStyle w:val="Compact"/>
        <w:numPr>
          <w:ilvl w:val="0"/>
          <w:numId w:val="1007"/>
        </w:numPr>
      </w:pPr>
      <w:r>
        <w:t xml:space="preserve">WCAG 2.2 AA.</w:t>
      </w:r>
    </w:p>
    <w:p>
      <w:pPr>
        <w:pStyle w:val="Compact"/>
        <w:numPr>
          <w:ilvl w:val="0"/>
          <w:numId w:val="1007"/>
        </w:numPr>
      </w:pPr>
      <w:r>
        <w:t xml:space="preserve">If React is chosen for a specific screen, isolate it and document why.</w:t>
      </w:r>
    </w:p>
    <w:bookmarkEnd w:id="23"/>
    <w:bookmarkStart w:id="24" w:name="runtime-sdk"/>
    <w:p>
      <w:pPr>
        <w:pStyle w:val="Heading3"/>
      </w:pPr>
      <w:r>
        <w:t xml:space="preserve">Runtime SDK</w:t>
      </w:r>
    </w:p>
    <w:p>
      <w:pPr>
        <w:pStyle w:val="Compact"/>
        <w:numPr>
          <w:ilvl w:val="0"/>
          <w:numId w:val="1008"/>
        </w:numPr>
      </w:pPr>
      <w:r>
        <w:t xml:space="preserve">TypeScript.</w:t>
      </w:r>
    </w:p>
    <w:p>
      <w:pPr>
        <w:pStyle w:val="Compact"/>
        <w:numPr>
          <w:ilvl w:val="0"/>
          <w:numId w:val="1008"/>
        </w:numPr>
      </w:pPr>
      <w:r>
        <w:t xml:space="preserve">Vite/esbuild.</w:t>
      </w:r>
    </w:p>
    <w:p>
      <w:pPr>
        <w:pStyle w:val="Compact"/>
        <w:numPr>
          <w:ilvl w:val="0"/>
          <w:numId w:val="1008"/>
        </w:numPr>
      </w:pPr>
      <w:r>
        <w:t xml:space="preserve">Shadow DOM or equivalent style isolation.</w:t>
      </w:r>
    </w:p>
    <w:p>
      <w:pPr>
        <w:pStyle w:val="Compact"/>
        <w:numPr>
          <w:ilvl w:val="0"/>
          <w:numId w:val="1008"/>
        </w:numPr>
      </w:pPr>
      <w:r>
        <w:t xml:space="preserve">No render blocking.</w:t>
      </w:r>
    </w:p>
    <w:p>
      <w:pPr>
        <w:pStyle w:val="Compact"/>
        <w:numPr>
          <w:ilvl w:val="0"/>
          <w:numId w:val="1008"/>
        </w:numPr>
      </w:pPr>
      <w:r>
        <w:t xml:space="preserve">Async loading.</w:t>
      </w:r>
    </w:p>
    <w:p>
      <w:pPr>
        <w:pStyle w:val="Compact"/>
        <w:numPr>
          <w:ilvl w:val="0"/>
          <w:numId w:val="1008"/>
        </w:numPr>
      </w:pPr>
      <w:r>
        <w:t xml:space="preserve">CDN-delivered versioned bundles.</w:t>
      </w:r>
    </w:p>
    <w:p>
      <w:pPr>
        <w:pStyle w:val="Compact"/>
        <w:numPr>
          <w:ilvl w:val="0"/>
          <w:numId w:val="1008"/>
        </w:numPr>
      </w:pPr>
      <w:r>
        <w:t xml:space="preserve">Framework-agnostic core.</w:t>
      </w:r>
    </w:p>
    <w:p>
      <w:pPr>
        <w:pStyle w:val="Compact"/>
        <w:numPr>
          <w:ilvl w:val="0"/>
          <w:numId w:val="1008"/>
        </w:numPr>
      </w:pPr>
      <w:r>
        <w:t xml:space="preserve">Optional Blazor wrapper for Property MTD.</w:t>
      </w:r>
    </w:p>
    <w:bookmarkEnd w:id="24"/>
    <w:bookmarkStart w:id="25" w:name="browser-extension"/>
    <w:p>
      <w:pPr>
        <w:pStyle w:val="Heading3"/>
      </w:pPr>
      <w:r>
        <w:t xml:space="preserve">Browser extension</w:t>
      </w:r>
    </w:p>
    <w:p>
      <w:pPr>
        <w:pStyle w:val="Compact"/>
        <w:numPr>
          <w:ilvl w:val="0"/>
          <w:numId w:val="1009"/>
        </w:numPr>
      </w:pPr>
      <w:r>
        <w:t xml:space="preserve">TypeScript.</w:t>
      </w:r>
    </w:p>
    <w:p>
      <w:pPr>
        <w:pStyle w:val="Compact"/>
        <w:numPr>
          <w:ilvl w:val="0"/>
          <w:numId w:val="1009"/>
        </w:numPr>
      </w:pPr>
      <w:r>
        <w:t xml:space="preserve">Manifest V3.</w:t>
      </w:r>
    </w:p>
    <w:p>
      <w:pPr>
        <w:pStyle w:val="Compact"/>
        <w:numPr>
          <w:ilvl w:val="0"/>
          <w:numId w:val="1009"/>
        </w:numPr>
      </w:pPr>
      <w:r>
        <w:t xml:space="preserve">Shares runtime SDK core.</w:t>
      </w:r>
    </w:p>
    <w:p>
      <w:pPr>
        <w:pStyle w:val="Compact"/>
        <w:numPr>
          <w:ilvl w:val="0"/>
          <w:numId w:val="1009"/>
        </w:numPr>
      </w:pPr>
      <w:r>
        <w:t xml:space="preserve">Client-side URL/domain matching.</w:t>
      </w:r>
    </w:p>
    <w:bookmarkEnd w:id="25"/>
    <w:bookmarkStart w:id="26" w:name="azure-services"/>
    <w:p>
      <w:pPr>
        <w:pStyle w:val="Heading3"/>
      </w:pPr>
      <w:r>
        <w:t xml:space="preserve">Azure services</w:t>
      </w:r>
    </w:p>
    <w:p>
      <w:pPr>
        <w:pStyle w:val="Compact"/>
        <w:numPr>
          <w:ilvl w:val="0"/>
          <w:numId w:val="1010"/>
        </w:numPr>
      </w:pPr>
      <w:r>
        <w:t xml:space="preserve">Azure Front Door / WAF.</w:t>
      </w:r>
    </w:p>
    <w:p>
      <w:pPr>
        <w:pStyle w:val="Compact"/>
        <w:numPr>
          <w:ilvl w:val="0"/>
          <w:numId w:val="1010"/>
        </w:numPr>
      </w:pPr>
      <w:r>
        <w:t xml:space="preserve">Azure API Management.</w:t>
      </w:r>
    </w:p>
    <w:p>
      <w:pPr>
        <w:pStyle w:val="Compact"/>
        <w:numPr>
          <w:ilvl w:val="0"/>
          <w:numId w:val="1010"/>
        </w:numPr>
      </w:pPr>
      <w:r>
        <w:t xml:space="preserve">Azure App Service or Azure Container Apps.</w:t>
      </w:r>
    </w:p>
    <w:p>
      <w:pPr>
        <w:pStyle w:val="Compact"/>
        <w:numPr>
          <w:ilvl w:val="0"/>
          <w:numId w:val="1010"/>
        </w:numPr>
      </w:pPr>
      <w:r>
        <w:t xml:space="preserve">Azure SQL or Azure Database for PostgreSQL.</w:t>
      </w:r>
    </w:p>
    <w:p>
      <w:pPr>
        <w:pStyle w:val="Compact"/>
        <w:numPr>
          <w:ilvl w:val="0"/>
          <w:numId w:val="1010"/>
        </w:numPr>
      </w:pPr>
      <w:r>
        <w:t xml:space="preserve">Azure Blob Storage.</w:t>
      </w:r>
    </w:p>
    <w:p>
      <w:pPr>
        <w:pStyle w:val="Compact"/>
        <w:numPr>
          <w:ilvl w:val="0"/>
          <w:numId w:val="1010"/>
        </w:numPr>
      </w:pPr>
      <w:r>
        <w:t xml:space="preserve">Azure CDN/Front Door delivery.</w:t>
      </w:r>
    </w:p>
    <w:p>
      <w:pPr>
        <w:pStyle w:val="Compact"/>
        <w:numPr>
          <w:ilvl w:val="0"/>
          <w:numId w:val="1010"/>
        </w:numPr>
      </w:pPr>
      <w:r>
        <w:t xml:space="preserve">Azure Event Hubs.</w:t>
      </w:r>
    </w:p>
    <w:p>
      <w:pPr>
        <w:pStyle w:val="Compact"/>
        <w:numPr>
          <w:ilvl w:val="0"/>
          <w:numId w:val="1010"/>
        </w:numPr>
      </w:pPr>
      <w:r>
        <w:t xml:space="preserve">Azure Cache for Redis.</w:t>
      </w:r>
    </w:p>
    <w:p>
      <w:pPr>
        <w:pStyle w:val="Compact"/>
        <w:numPr>
          <w:ilvl w:val="0"/>
          <w:numId w:val="1010"/>
        </w:numPr>
      </w:pPr>
      <w:r>
        <w:t xml:space="preserve">Azure AI Search.</w:t>
      </w:r>
    </w:p>
    <w:p>
      <w:pPr>
        <w:pStyle w:val="Compact"/>
        <w:numPr>
          <w:ilvl w:val="0"/>
          <w:numId w:val="1010"/>
        </w:numPr>
      </w:pPr>
      <w:r>
        <w:t xml:space="preserve">Azure OpenAI / OpenAI provider abstraction.</w:t>
      </w:r>
    </w:p>
    <w:p>
      <w:pPr>
        <w:pStyle w:val="Compact"/>
        <w:numPr>
          <w:ilvl w:val="0"/>
          <w:numId w:val="1010"/>
        </w:numPr>
      </w:pPr>
      <w:r>
        <w:t xml:space="preserve">Azure Key Vault.</w:t>
      </w:r>
    </w:p>
    <w:p>
      <w:pPr>
        <w:pStyle w:val="Compact"/>
        <w:numPr>
          <w:ilvl w:val="0"/>
          <w:numId w:val="1010"/>
        </w:numPr>
      </w:pPr>
      <w:r>
        <w:t xml:space="preserve">Azure App Configuration.</w:t>
      </w:r>
    </w:p>
    <w:p>
      <w:pPr>
        <w:pStyle w:val="Compact"/>
        <w:numPr>
          <w:ilvl w:val="0"/>
          <w:numId w:val="1010"/>
        </w:numPr>
      </w:pPr>
      <w:r>
        <w:t xml:space="preserve">Azure Monitor / Application Insights / Managed Grafana.</w:t>
      </w:r>
    </w:p>
    <w:bookmarkEnd w:id="26"/>
    <w:bookmarkStart w:id="27" w:name="devsecops"/>
    <w:p>
      <w:pPr>
        <w:pStyle w:val="Heading3"/>
      </w:pPr>
      <w:r>
        <w:t xml:space="preserve">DevSecOps</w:t>
      </w:r>
    </w:p>
    <w:p>
      <w:pPr>
        <w:pStyle w:val="Compact"/>
        <w:numPr>
          <w:ilvl w:val="0"/>
          <w:numId w:val="1011"/>
        </w:numPr>
      </w:pPr>
      <w:r>
        <w:t xml:space="preserve">GitHub Actions.</w:t>
      </w:r>
    </w:p>
    <w:p>
      <w:pPr>
        <w:pStyle w:val="Compact"/>
        <w:numPr>
          <w:ilvl w:val="0"/>
          <w:numId w:val="1011"/>
        </w:numPr>
      </w:pPr>
      <w:r>
        <w:t xml:space="preserve">CodeQL.</w:t>
      </w:r>
    </w:p>
    <w:p>
      <w:pPr>
        <w:pStyle w:val="Compact"/>
        <w:numPr>
          <w:ilvl w:val="0"/>
          <w:numId w:val="1011"/>
        </w:numPr>
      </w:pPr>
      <w:r>
        <w:t xml:space="preserve">Dependabot.</w:t>
      </w:r>
    </w:p>
    <w:p>
      <w:pPr>
        <w:pStyle w:val="Compact"/>
        <w:numPr>
          <w:ilvl w:val="0"/>
          <w:numId w:val="1011"/>
        </w:numPr>
      </w:pPr>
      <w:r>
        <w:t xml:space="preserve">Secret scanning.</w:t>
      </w:r>
    </w:p>
    <w:p>
      <w:pPr>
        <w:pStyle w:val="Compact"/>
        <w:numPr>
          <w:ilvl w:val="0"/>
          <w:numId w:val="1011"/>
        </w:numPr>
      </w:pPr>
      <w:r>
        <w:t xml:space="preserve">Dependency scanning.</w:t>
      </w:r>
    </w:p>
    <w:p>
      <w:pPr>
        <w:pStyle w:val="Compact"/>
        <w:numPr>
          <w:ilvl w:val="0"/>
          <w:numId w:val="1011"/>
        </w:numPr>
      </w:pPr>
      <w:r>
        <w:t xml:space="preserve">Infrastructure as Code using Bicep.</w:t>
      </w:r>
    </w:p>
    <w:p>
      <w:pPr>
        <w:pStyle w:val="Compact"/>
        <w:numPr>
          <w:ilvl w:val="0"/>
          <w:numId w:val="1011"/>
        </w:numPr>
      </w:pPr>
      <w:r>
        <w:t xml:space="preserve">Environment gates for test and production.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non-negotiable-invariants"/>
    <w:p>
      <w:pPr>
        <w:pStyle w:val="Heading2"/>
      </w:pPr>
      <w:r>
        <w:t xml:space="preserve">4. Non-negotiable invariants</w:t>
      </w:r>
    </w:p>
    <w:bookmarkStart w:id="29" w:name="tenant-isolation-is-sacred"/>
    <w:p>
      <w:pPr>
        <w:pStyle w:val="Heading3"/>
      </w:pPr>
      <w:r>
        <w:t xml:space="preserve">4.1 Tenant isolation is sacred</w:t>
      </w:r>
    </w:p>
    <w:p>
      <w:pPr>
        <w:pStyle w:val="FirstParagraph"/>
      </w:pPr>
      <w:r>
        <w:t xml:space="preserve">Every persisted record must be tenant-scoped unless deliberately global and read-only.</w:t>
      </w:r>
    </w:p>
    <w:p>
      <w:pPr>
        <w:pStyle w:val="BodyText"/>
      </w:pPr>
      <w:r>
        <w:t xml:space="preserve">The system must derive tenant context from verified identity, never from untrusted client input.</w:t>
      </w:r>
    </w:p>
    <w:p>
      <w:pPr>
        <w:pStyle w:val="BodyText"/>
      </w:pPr>
      <w:r>
        <w:t xml:space="preserve">Every data path must be covered by automated cross-tenant isolation tests.</w:t>
      </w:r>
    </w:p>
    <w:bookmarkEnd w:id="29"/>
    <w:bookmarkStart w:id="30" w:name="property-mtd-data-safety"/>
    <w:p>
      <w:pPr>
        <w:pStyle w:val="Heading3"/>
      </w:pPr>
      <w:r>
        <w:t xml:space="preserve">4.2 Property MTD data safety</w:t>
      </w:r>
    </w:p>
    <w:p>
      <w:pPr>
        <w:pStyle w:val="FirstParagraph"/>
      </w:pPr>
      <w:r>
        <w:t xml:space="preserve">Do not capture, store, transmit, embed, or expose by default:</w:t>
      </w:r>
    </w:p>
    <w:p>
      <w:pPr>
        <w:pStyle w:val="Compact"/>
        <w:numPr>
          <w:ilvl w:val="0"/>
          <w:numId w:val="1012"/>
        </w:numPr>
      </w:pPr>
      <w:r>
        <w:t xml:space="preserve">HMRC OAuth tokens;</w:t>
      </w:r>
    </w:p>
    <w:p>
      <w:pPr>
        <w:pStyle w:val="Compact"/>
        <w:numPr>
          <w:ilvl w:val="0"/>
          <w:numId w:val="1012"/>
        </w:numPr>
      </w:pPr>
      <w:r>
        <w:t xml:space="preserve">Government Gateway data;</w:t>
      </w:r>
    </w:p>
    <w:p>
      <w:pPr>
        <w:pStyle w:val="Compact"/>
        <w:numPr>
          <w:ilvl w:val="0"/>
          <w:numId w:val="1012"/>
        </w:numPr>
      </w:pPr>
      <w:r>
        <w:t xml:space="preserve">submission payloads;</w:t>
      </w:r>
    </w:p>
    <w:p>
      <w:pPr>
        <w:pStyle w:val="Compact"/>
        <w:numPr>
          <w:ilvl w:val="0"/>
          <w:numId w:val="1012"/>
        </w:numPr>
      </w:pPr>
      <w:r>
        <w:t xml:space="preserve">UTRs;</w:t>
      </w:r>
    </w:p>
    <w:p>
      <w:pPr>
        <w:pStyle w:val="Compact"/>
        <w:numPr>
          <w:ilvl w:val="0"/>
          <w:numId w:val="1012"/>
        </w:numPr>
      </w:pPr>
      <w:r>
        <w:t xml:space="preserve">National Insurance numbers;</w:t>
      </w:r>
    </w:p>
    <w:p>
      <w:pPr>
        <w:pStyle w:val="Compact"/>
        <w:numPr>
          <w:ilvl w:val="0"/>
          <w:numId w:val="1012"/>
        </w:numPr>
      </w:pPr>
      <w:r>
        <w:t xml:space="preserve">property addresses;</w:t>
      </w:r>
    </w:p>
    <w:p>
      <w:pPr>
        <w:pStyle w:val="Compact"/>
        <w:numPr>
          <w:ilvl w:val="0"/>
          <w:numId w:val="1012"/>
        </w:numPr>
      </w:pPr>
      <w:r>
        <w:t xml:space="preserve">bank transaction values;</w:t>
      </w:r>
    </w:p>
    <w:p>
      <w:pPr>
        <w:pStyle w:val="Compact"/>
        <w:numPr>
          <w:ilvl w:val="0"/>
          <w:numId w:val="1012"/>
        </w:numPr>
      </w:pPr>
      <w:r>
        <w:t xml:space="preserve">tax amounts;</w:t>
      </w:r>
    </w:p>
    <w:p>
      <w:pPr>
        <w:pStyle w:val="Compact"/>
        <w:numPr>
          <w:ilvl w:val="0"/>
          <w:numId w:val="1012"/>
        </w:numPr>
      </w:pPr>
      <w:r>
        <w:t xml:space="preserve">client identifiers;</w:t>
      </w:r>
    </w:p>
    <w:p>
      <w:pPr>
        <w:pStyle w:val="Compact"/>
        <w:numPr>
          <w:ilvl w:val="0"/>
          <w:numId w:val="1012"/>
        </w:numPr>
      </w:pPr>
      <w:r>
        <w:t xml:space="preserve">personally sensitive form values.</w:t>
      </w:r>
    </w:p>
    <w:p>
      <w:pPr>
        <w:pStyle w:val="FirstParagraph"/>
      </w:pPr>
      <w:r>
        <w:t xml:space="preserve">The adoption platform may use safe status metadata such as:</w:t>
      </w:r>
    </w:p>
    <w:p>
      <w:pPr>
        <w:pStyle w:val="Compact"/>
        <w:numPr>
          <w:ilvl w:val="0"/>
          <w:numId w:val="1013"/>
        </w:numPr>
      </w:pPr>
      <w:r>
        <w:t xml:space="preserve">HMRC authorised: yes/no;</w:t>
      </w:r>
    </w:p>
    <w:p>
      <w:pPr>
        <w:pStyle w:val="Compact"/>
        <w:numPr>
          <w:ilvl w:val="0"/>
          <w:numId w:val="1013"/>
        </w:numPr>
      </w:pPr>
      <w:r>
        <w:t xml:space="preserve">onboarding status;</w:t>
      </w:r>
    </w:p>
    <w:p>
      <w:pPr>
        <w:pStyle w:val="Compact"/>
        <w:numPr>
          <w:ilvl w:val="0"/>
          <w:numId w:val="1013"/>
        </w:numPr>
      </w:pPr>
      <w:r>
        <w:t xml:space="preserve">quarterly update status;</w:t>
      </w:r>
    </w:p>
    <w:p>
      <w:pPr>
        <w:pStyle w:val="Compact"/>
        <w:numPr>
          <w:ilvl w:val="0"/>
          <w:numId w:val="1013"/>
        </w:numPr>
      </w:pPr>
      <w:r>
        <w:t xml:space="preserve">validation error category;</w:t>
      </w:r>
    </w:p>
    <w:p>
      <w:pPr>
        <w:pStyle w:val="Compact"/>
        <w:numPr>
          <w:ilvl w:val="0"/>
          <w:numId w:val="1013"/>
        </w:numPr>
      </w:pPr>
      <w:r>
        <w:t xml:space="preserve">count of unresolved items;</w:t>
      </w:r>
    </w:p>
    <w:p>
      <w:pPr>
        <w:pStyle w:val="Compact"/>
        <w:numPr>
          <w:ilvl w:val="0"/>
          <w:numId w:val="1013"/>
        </w:numPr>
      </w:pPr>
      <w:r>
        <w:t xml:space="preserve">role;</w:t>
      </w:r>
    </w:p>
    <w:p>
      <w:pPr>
        <w:pStyle w:val="Compact"/>
        <w:numPr>
          <w:ilvl w:val="0"/>
          <w:numId w:val="1013"/>
        </w:numPr>
      </w:pPr>
      <w:r>
        <w:t xml:space="preserve">app route;</w:t>
      </w:r>
    </w:p>
    <w:p>
      <w:pPr>
        <w:pStyle w:val="Compact"/>
        <w:numPr>
          <w:ilvl w:val="0"/>
          <w:numId w:val="1013"/>
        </w:numPr>
      </w:pPr>
      <w:r>
        <w:t xml:space="preserve">feature flags;</w:t>
      </w:r>
    </w:p>
    <w:p>
      <w:pPr>
        <w:pStyle w:val="Compact"/>
        <w:numPr>
          <w:ilvl w:val="0"/>
          <w:numId w:val="1013"/>
        </w:numPr>
      </w:pPr>
      <w:r>
        <w:t xml:space="preserve">completion events.</w:t>
      </w:r>
    </w:p>
    <w:bookmarkEnd w:id="30"/>
    <w:bookmarkStart w:id="31" w:name="the-element-engine-is-the-moat"/>
    <w:p>
      <w:pPr>
        <w:pStyle w:val="Heading3"/>
      </w:pPr>
      <w:r>
        <w:t xml:space="preserve">4.3 The element engine is the moat</w:t>
      </w:r>
    </w:p>
    <w:p>
      <w:pPr>
        <w:pStyle w:val="FirstParagraph"/>
      </w:pPr>
      <w:r>
        <w:t xml:space="preserve">Do not use brittle CSS selectors as the only anchor strategy.</w:t>
      </w:r>
    </w:p>
    <w:p>
      <w:pPr>
        <w:pStyle w:val="BodyText"/>
      </w:pPr>
      <w:r>
        <w:t xml:space="preserve">Implement stable first-party anchors for Property MTD: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data-adopt-id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"mtd.quarterly.submit"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 multi-signal descriptors for all other apps.</w:t>
      </w:r>
    </w:p>
    <w:bookmarkEnd w:id="31"/>
    <w:bookmarkStart w:id="32" w:name="X7166c234c266fdce8dc76d4107c5bf4ad5346b8"/>
    <w:p>
      <w:pPr>
        <w:pStyle w:val="Heading3"/>
      </w:pPr>
      <w:r>
        <w:t xml:space="preserve">4.4 The runtime must never break the host app</w:t>
      </w:r>
    </w:p>
    <w:p>
      <w:pPr>
        <w:pStyle w:val="FirstParagraph"/>
      </w:pPr>
      <w:r>
        <w:t xml:space="preserve">The SDK must:</w:t>
      </w:r>
    </w:p>
    <w:p>
      <w:pPr>
        <w:pStyle w:val="Compact"/>
        <w:numPr>
          <w:ilvl w:val="0"/>
          <w:numId w:val="1014"/>
        </w:numPr>
      </w:pPr>
      <w:r>
        <w:t xml:space="preserve">load asynchronously;</w:t>
      </w:r>
    </w:p>
    <w:p>
      <w:pPr>
        <w:pStyle w:val="Compact"/>
        <w:numPr>
          <w:ilvl w:val="0"/>
          <w:numId w:val="1014"/>
        </w:numPr>
      </w:pPr>
      <w:r>
        <w:t xml:space="preserve">catch all internal errors;</w:t>
      </w:r>
    </w:p>
    <w:p>
      <w:pPr>
        <w:pStyle w:val="Compact"/>
        <w:numPr>
          <w:ilvl w:val="0"/>
          <w:numId w:val="1014"/>
        </w:numPr>
      </w:pPr>
      <w:r>
        <w:t xml:space="preserve">degrade silently;</w:t>
      </w:r>
    </w:p>
    <w:p>
      <w:pPr>
        <w:pStyle w:val="Compact"/>
        <w:numPr>
          <w:ilvl w:val="0"/>
          <w:numId w:val="1014"/>
        </w:numPr>
      </w:pPr>
      <w:r>
        <w:t xml:space="preserve">not modify host app business state;</w:t>
      </w:r>
    </w:p>
    <w:p>
      <w:pPr>
        <w:pStyle w:val="Compact"/>
        <w:numPr>
          <w:ilvl w:val="0"/>
          <w:numId w:val="1014"/>
        </w:numPr>
      </w:pPr>
      <w:r>
        <w:t xml:space="preserve">not block rendering;</w:t>
      </w:r>
    </w:p>
    <w:p>
      <w:pPr>
        <w:pStyle w:val="Compact"/>
        <w:numPr>
          <w:ilvl w:val="0"/>
          <w:numId w:val="1014"/>
        </w:numPr>
      </w:pPr>
      <w:r>
        <w:t xml:space="preserve">not leak styles;</w:t>
      </w:r>
    </w:p>
    <w:p>
      <w:pPr>
        <w:pStyle w:val="Compact"/>
        <w:numPr>
          <w:ilvl w:val="0"/>
          <w:numId w:val="1014"/>
        </w:numPr>
      </w:pPr>
      <w:r>
        <w:t xml:space="preserve">be removable without side effects.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1734d305401e1f7d7946cef7bec188118a35ac"/>
    <w:p>
      <w:pPr>
        <w:pStyle w:val="Heading2"/>
      </w:pPr>
      <w:r>
        <w:t xml:space="preserve">5. Required future Property MTD integration contract</w:t>
      </w:r>
    </w:p>
    <w:p>
      <w:pPr>
        <w:pStyle w:val="FirstParagraph"/>
      </w:pPr>
      <w:r>
        <w:t xml:space="preserve">Do not modify Property MTD in Sprint 1. The future integration contract is:</w:t>
      </w:r>
    </w:p>
    <w:p>
      <w:pPr>
        <w:pStyle w:val="SourceCode"/>
      </w:pPr>
      <w:r>
        <w:rPr>
          <w:rStyle w:val="VerbatimChar"/>
        </w:rPr>
        <w:t xml:space="preserve">Property MTD Blazor/Web App</w:t>
      </w:r>
      <w:r>
        <w:br/>
      </w:r>
      <w:r>
        <w:rPr>
          <w:rStyle w:val="VerbatimChar"/>
        </w:rPr>
        <w:t xml:space="preserve">  ├── Adoption runtime initialised in app shell</w:t>
      </w:r>
      <w:r>
        <w:br/>
      </w:r>
      <w:r>
        <w:rPr>
          <w:rStyle w:val="VerbatimChar"/>
        </w:rPr>
        <w:t xml:space="preserve">  ├── Blazor wrapper for runtime SDK</w:t>
      </w:r>
      <w:r>
        <w:br/>
      </w:r>
      <w:r>
        <w:rPr>
          <w:rStyle w:val="VerbatimChar"/>
        </w:rPr>
        <w:t xml:space="preserve">  ├── data-adopt-id anchors on key components</w:t>
      </w:r>
      <w:r>
        <w:br/>
      </w:r>
      <w:r>
        <w:rPr>
          <w:rStyle w:val="VerbatimChar"/>
        </w:rPr>
        <w:t xml:space="preserve">  ├── route/screen tracking</w:t>
      </w:r>
      <w:r>
        <w:br/>
      </w:r>
      <w:r>
        <w:rPr>
          <w:rStyle w:val="VerbatimChar"/>
        </w:rPr>
        <w:t xml:space="preserve">  ├── safe context updates</w:t>
      </w:r>
      <w:r>
        <w:br/>
      </w:r>
      <w:r>
        <w:rPr>
          <w:rStyle w:val="VerbatimChar"/>
        </w:rPr>
        <w:t xml:space="preserve">  └── runtime guide rendering</w:t>
      </w:r>
      <w:r>
        <w:br/>
      </w:r>
      <w:r>
        <w:br/>
      </w:r>
      <w:r>
        <w:rPr>
          <w:rStyle w:val="VerbatimChar"/>
        </w:rPr>
        <w:t xml:space="preserve">Property MTD Backend</w:t>
      </w:r>
      <w:r>
        <w:br/>
      </w:r>
      <w:r>
        <w:rPr>
          <w:rStyle w:val="VerbatimChar"/>
        </w:rPr>
        <w:t xml:space="preserve">  ├── /api/adoption/context</w:t>
      </w:r>
      <w:r>
        <w:br/>
      </w:r>
      <w:r>
        <w:rPr>
          <w:rStyle w:val="VerbatimChar"/>
        </w:rPr>
        <w:t xml:space="preserve">  ├── adoption-safe domain event adapter</w:t>
      </w:r>
      <w:r>
        <w:br/>
      </w:r>
      <w:r>
        <w:rPr>
          <w:rStyle w:val="VerbatimChar"/>
        </w:rPr>
        <w:t xml:space="preserve">  ├── no raw tax-data event payloads</w:t>
      </w:r>
      <w:r>
        <w:br/>
      </w:r>
      <w:r>
        <w:rPr>
          <w:rStyle w:val="VerbatimChar"/>
        </w:rPr>
        <w:t xml:space="preserve">  ├── no direct adoption access to HMRC credentials</w:t>
      </w:r>
      <w:r>
        <w:br/>
      </w:r>
      <w:r>
        <w:rPr>
          <w:rStyle w:val="VerbatimChar"/>
        </w:rPr>
        <w:t xml:space="preserve">  └── workflow status exposure only</w:t>
      </w:r>
    </w:p>
    <w:p>
      <w:pPr>
        <w:pStyle w:val="FirstParagraph"/>
      </w:pPr>
      <w:r>
        <w:t xml:space="preserve">Initial anchor set:</w:t>
      </w:r>
    </w:p>
    <w:p>
      <w:pPr>
        <w:pStyle w:val="SourceCode"/>
      </w:pPr>
      <w:r>
        <w:rPr>
          <w:rStyle w:val="VerbatimChar"/>
        </w:rPr>
        <w:t xml:space="preserve">mtd.dashboard.next-action</w:t>
      </w:r>
      <w:r>
        <w:br/>
      </w:r>
      <w:r>
        <w:rPr>
          <w:rStyle w:val="VerbatimChar"/>
        </w:rPr>
        <w:t xml:space="preserve">mtd.setup.start</w:t>
      </w:r>
      <w:r>
        <w:br/>
      </w:r>
      <w:r>
        <w:rPr>
          <w:rStyle w:val="VerbatimChar"/>
        </w:rPr>
        <w:t xml:space="preserve">mtd.eligibility.check</w:t>
      </w:r>
      <w:r>
        <w:br/>
      </w:r>
      <w:r>
        <w:rPr>
          <w:rStyle w:val="VerbatimChar"/>
        </w:rPr>
        <w:t xml:space="preserve">mtd.hmrc.authorise</w:t>
      </w:r>
      <w:r>
        <w:br/>
      </w:r>
      <w:r>
        <w:rPr>
          <w:rStyle w:val="VerbatimChar"/>
        </w:rPr>
        <w:t xml:space="preserve">mtd.hmrc.authorisation-status</w:t>
      </w:r>
      <w:r>
        <w:br/>
      </w:r>
      <w:r>
        <w:rPr>
          <w:rStyle w:val="VerbatimChar"/>
        </w:rPr>
        <w:t xml:space="preserve">mtd.property.add</w:t>
      </w:r>
      <w:r>
        <w:br/>
      </w:r>
      <w:r>
        <w:rPr>
          <w:rStyle w:val="VerbatimChar"/>
        </w:rPr>
        <w:t xml:space="preserve">mtd.property.edit</w:t>
      </w:r>
      <w:r>
        <w:br/>
      </w:r>
      <w:r>
        <w:rPr>
          <w:rStyle w:val="VerbatimChar"/>
        </w:rPr>
        <w:t xml:space="preserve">mtd.records.import</w:t>
      </w:r>
      <w:r>
        <w:br/>
      </w:r>
      <w:r>
        <w:rPr>
          <w:rStyle w:val="VerbatimChar"/>
        </w:rPr>
        <w:t xml:space="preserve">mtd.records.manual-entry</w:t>
      </w:r>
      <w:r>
        <w:br/>
      </w:r>
      <w:r>
        <w:rPr>
          <w:rStyle w:val="VerbatimChar"/>
        </w:rPr>
        <w:t xml:space="preserve">mtd.transaction.category</w:t>
      </w:r>
      <w:r>
        <w:br/>
      </w:r>
      <w:r>
        <w:rPr>
          <w:rStyle w:val="VerbatimChar"/>
        </w:rPr>
        <w:t xml:space="preserve">mtd.transaction.uncategorised-list</w:t>
      </w:r>
      <w:r>
        <w:br/>
      </w:r>
      <w:r>
        <w:rPr>
          <w:rStyle w:val="VerbatimChar"/>
        </w:rPr>
        <w:t xml:space="preserve">mtd.quarterly.start</w:t>
      </w:r>
      <w:r>
        <w:br/>
      </w:r>
      <w:r>
        <w:rPr>
          <w:rStyle w:val="VerbatimChar"/>
        </w:rPr>
        <w:t xml:space="preserve">mtd.quarterly.review-income</w:t>
      </w:r>
      <w:r>
        <w:br/>
      </w:r>
      <w:r>
        <w:rPr>
          <w:rStyle w:val="VerbatimChar"/>
        </w:rPr>
        <w:t xml:space="preserve">mtd.quarterly.review-expenses</w:t>
      </w:r>
      <w:r>
        <w:br/>
      </w:r>
      <w:r>
        <w:rPr>
          <w:rStyle w:val="VerbatimChar"/>
        </w:rPr>
        <w:t xml:space="preserve">mtd.quarterly.validation-errors</w:t>
      </w:r>
      <w:r>
        <w:br/>
      </w:r>
      <w:r>
        <w:rPr>
          <w:rStyle w:val="VerbatimChar"/>
        </w:rPr>
        <w:t xml:space="preserve">mtd.quarterly.submit</w:t>
      </w:r>
      <w:r>
        <w:br/>
      </w:r>
      <w:r>
        <w:rPr>
          <w:rStyle w:val="VerbatimChar"/>
        </w:rPr>
        <w:t xml:space="preserve">mtd.quarterly.hmrc-confirmation</w:t>
      </w:r>
      <w:r>
        <w:br/>
      </w:r>
      <w:r>
        <w:rPr>
          <w:rStyle w:val="VerbatimChar"/>
        </w:rPr>
        <w:t xml:space="preserve">mtd.submission.history</w:t>
      </w:r>
      <w:r>
        <w:br/>
      </w:r>
      <w:r>
        <w:rPr>
          <w:rStyle w:val="VerbatimChar"/>
        </w:rPr>
        <w:t xml:space="preserve">mtd.agent.client-list</w:t>
      </w:r>
      <w:r>
        <w:br/>
      </w:r>
      <w:r>
        <w:rPr>
          <w:rStyle w:val="VerbatimChar"/>
        </w:rPr>
        <w:t xml:space="preserve">mtd.agent.client-mtd-status</w:t>
      </w:r>
      <w:r>
        <w:br/>
      </w:r>
      <w:r>
        <w:rPr>
          <w:rStyle w:val="VerbatimChar"/>
        </w:rPr>
        <w:t xml:space="preserve">mtd.agent.request-authorisation</w:t>
      </w:r>
    </w:p>
    <w:p>
      <w:pPr>
        <w:pStyle w:val="FirstParagraph"/>
      </w:pPr>
      <w:r>
        <w:t xml:space="preserve">Initial safe events:</w:t>
      </w:r>
    </w:p>
    <w:p>
      <w:pPr>
        <w:pStyle w:val="SourceCode"/>
      </w:pPr>
      <w:r>
        <w:rPr>
          <w:rStyle w:val="VerbatimChar"/>
        </w:rPr>
        <w:t xml:space="preserve">mtd.onboarding.started</w:t>
      </w:r>
      <w:r>
        <w:br/>
      </w:r>
      <w:r>
        <w:rPr>
          <w:rStyle w:val="VerbatimChar"/>
        </w:rPr>
        <w:t xml:space="preserve">mtd.onboarding.completed</w:t>
      </w:r>
      <w:r>
        <w:br/>
      </w:r>
      <w:r>
        <w:rPr>
          <w:rStyle w:val="VerbatimChar"/>
        </w:rPr>
        <w:t xml:space="preserve">mtd.hmrc_authorisation.started</w:t>
      </w:r>
      <w:r>
        <w:br/>
      </w:r>
      <w:r>
        <w:rPr>
          <w:rStyle w:val="VerbatimChar"/>
        </w:rPr>
        <w:t xml:space="preserve">mtd.hmrc_authorisation.completed</w:t>
      </w:r>
      <w:r>
        <w:br/>
      </w:r>
      <w:r>
        <w:rPr>
          <w:rStyle w:val="VerbatimChar"/>
        </w:rPr>
        <w:t xml:space="preserve">mtd.hmrc_authorisation.failed</w:t>
      </w:r>
      <w:r>
        <w:br/>
      </w:r>
      <w:r>
        <w:rPr>
          <w:rStyle w:val="VerbatimChar"/>
        </w:rPr>
        <w:t xml:space="preserve">mtd.property.created</w:t>
      </w:r>
      <w:r>
        <w:br/>
      </w:r>
      <w:r>
        <w:rPr>
          <w:rStyle w:val="VerbatimChar"/>
        </w:rPr>
        <w:t xml:space="preserve">mtd.records.imported</w:t>
      </w:r>
      <w:r>
        <w:br/>
      </w:r>
      <w:r>
        <w:rPr>
          <w:rStyle w:val="VerbatimChar"/>
        </w:rPr>
        <w:t xml:space="preserve">mtd.transaction.categorisation.started</w:t>
      </w:r>
      <w:r>
        <w:br/>
      </w:r>
      <w:r>
        <w:rPr>
          <w:rStyle w:val="VerbatimChar"/>
        </w:rPr>
        <w:t xml:space="preserve">mtd.transaction.categorisation.completed</w:t>
      </w:r>
      <w:r>
        <w:br/>
      </w:r>
      <w:r>
        <w:rPr>
          <w:rStyle w:val="VerbatimChar"/>
        </w:rPr>
        <w:t xml:space="preserve">mtd.quarterly_update.started</w:t>
      </w:r>
      <w:r>
        <w:br/>
      </w:r>
      <w:r>
        <w:rPr>
          <w:rStyle w:val="VerbatimChar"/>
        </w:rPr>
        <w:t xml:space="preserve">mtd.quarterly_update.validation_failed</w:t>
      </w:r>
      <w:r>
        <w:br/>
      </w:r>
      <w:r>
        <w:rPr>
          <w:rStyle w:val="VerbatimChar"/>
        </w:rPr>
        <w:t xml:space="preserve">mtd.quarterly_update.submitted</w:t>
      </w:r>
      <w:r>
        <w:br/>
      </w:r>
      <w:r>
        <w:rPr>
          <w:rStyle w:val="VerbatimChar"/>
        </w:rPr>
        <w:t xml:space="preserve">mtd.quarterly_update.accepted_by_hmrc</w:t>
      </w:r>
      <w:r>
        <w:br/>
      </w:r>
      <w:r>
        <w:rPr>
          <w:rStyle w:val="VerbatimChar"/>
        </w:rPr>
        <w:t xml:space="preserve">mtd.quarterly_update.rejected_by_hmrc</w:t>
      </w:r>
    </w:p>
    <w:p>
      <w:r>
        <w:pict>
          <v:rect style="width:0;height:1.5pt" o:hralign="center" o:hrstd="t" o:hr="t"/>
        </w:pict>
      </w:r>
    </w:p>
    <w:bookmarkEnd w:id="34"/>
    <w:bookmarkStart w:id="40" w:name="maximum-five-production-sprints"/>
    <w:p>
      <w:pPr>
        <w:pStyle w:val="Heading2"/>
      </w:pPr>
      <w:r>
        <w:t xml:space="preserve">6. Maximum five production sprints</w:t>
      </w:r>
    </w:p>
    <w:bookmarkStart w:id="35" w:name="X853ea3c9a656822250ae62c10368f47fe0fe4ed"/>
    <w:p>
      <w:pPr>
        <w:pStyle w:val="Heading3"/>
      </w:pPr>
      <w:r>
        <w:t xml:space="preserve">Sprint 1 — SaaS Foundation, Security &amp; Platform Skeleton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5"/>
        </w:numPr>
      </w:pPr>
      <w:r>
        <w:t xml:space="preserve">Visual Studio solution.</w:t>
      </w:r>
    </w:p>
    <w:p>
      <w:pPr>
        <w:pStyle w:val="Compact"/>
        <w:numPr>
          <w:ilvl w:val="0"/>
          <w:numId w:val="1015"/>
        </w:numPr>
      </w:pPr>
      <w:r>
        <w:t xml:space="preserve">.NET control plane API.</w:t>
      </w:r>
    </w:p>
    <w:p>
      <w:pPr>
        <w:pStyle w:val="Compact"/>
        <w:numPr>
          <w:ilvl w:val="0"/>
          <w:numId w:val="1015"/>
        </w:numPr>
      </w:pPr>
      <w:r>
        <w:t xml:space="preserve">Admin shell.</w:t>
      </w:r>
    </w:p>
    <w:p>
      <w:pPr>
        <w:pStyle w:val="Compact"/>
        <w:numPr>
          <w:ilvl w:val="0"/>
          <w:numId w:val="1015"/>
        </w:numPr>
      </w:pPr>
      <w:r>
        <w:t xml:space="preserve">Entra ID workforce authentication.</w:t>
      </w:r>
    </w:p>
    <w:p>
      <w:pPr>
        <w:pStyle w:val="Compact"/>
        <w:numPr>
          <w:ilvl w:val="0"/>
          <w:numId w:val="1015"/>
        </w:numPr>
      </w:pPr>
      <w:r>
        <w:t xml:space="preserve">Entra External ID architecture support.</w:t>
      </w:r>
    </w:p>
    <w:p>
      <w:pPr>
        <w:pStyle w:val="Compact"/>
        <w:numPr>
          <w:ilvl w:val="0"/>
          <w:numId w:val="1015"/>
        </w:numPr>
      </w:pPr>
      <w:r>
        <w:t xml:space="preserve">Tenant model.</w:t>
      </w:r>
    </w:p>
    <w:p>
      <w:pPr>
        <w:pStyle w:val="Compact"/>
        <w:numPr>
          <w:ilvl w:val="0"/>
          <w:numId w:val="1015"/>
        </w:numPr>
      </w:pPr>
      <w:r>
        <w:t xml:space="preserve">Row-level tenant isolation.</w:t>
      </w:r>
    </w:p>
    <w:p>
      <w:pPr>
        <w:pStyle w:val="Compact"/>
        <w:numPr>
          <w:ilvl w:val="0"/>
          <w:numId w:val="1015"/>
        </w:numPr>
      </w:pPr>
      <w:r>
        <w:t xml:space="preserve">RBAC.</w:t>
      </w:r>
    </w:p>
    <w:p>
      <w:pPr>
        <w:pStyle w:val="Compact"/>
        <w:numPr>
          <w:ilvl w:val="0"/>
          <w:numId w:val="1015"/>
        </w:numPr>
      </w:pPr>
      <w:r>
        <w:t xml:space="preserve">Audit logging.</w:t>
      </w:r>
    </w:p>
    <w:p>
      <w:pPr>
        <w:pStyle w:val="Compact"/>
        <w:numPr>
          <w:ilvl w:val="0"/>
          <w:numId w:val="1015"/>
        </w:numPr>
      </w:pPr>
      <w:r>
        <w:t xml:space="preserve">Bicep Azure infrastructure.</w:t>
      </w:r>
    </w:p>
    <w:p>
      <w:pPr>
        <w:pStyle w:val="Compact"/>
        <w:numPr>
          <w:ilvl w:val="0"/>
          <w:numId w:val="1015"/>
        </w:numPr>
      </w:pPr>
      <w:r>
        <w:t xml:space="preserve">GitHub Actions CI/CD.</w:t>
      </w:r>
    </w:p>
    <w:p>
      <w:pPr>
        <w:pStyle w:val="Compact"/>
        <w:numPr>
          <w:ilvl w:val="0"/>
          <w:numId w:val="1015"/>
        </w:numPr>
      </w:pPr>
      <w:r>
        <w:t xml:space="preserve">CodeQL/dependency/secret scanning.</w:t>
      </w:r>
    </w:p>
    <w:p>
      <w:pPr>
        <w:pStyle w:val="Compact"/>
        <w:numPr>
          <w:ilvl w:val="0"/>
          <w:numId w:val="1015"/>
        </w:numPr>
      </w:pPr>
      <w:r>
        <w:t xml:space="preserve">OpenTelemetry baseline.</w:t>
      </w:r>
    </w:p>
    <w:p>
      <w:pPr>
        <w:pStyle w:val="Compact"/>
        <w:numPr>
          <w:ilvl w:val="0"/>
          <w:numId w:val="1015"/>
        </w:numPr>
      </w:pPr>
      <w:r>
        <w:t xml:space="preserve">Cross-tenant isolation test harness.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6"/>
        </w:numPr>
      </w:pPr>
      <w:r>
        <w:t xml:space="preserve">Tenant admin can sign in.</w:t>
      </w:r>
    </w:p>
    <w:p>
      <w:pPr>
        <w:pStyle w:val="Compact"/>
        <w:numPr>
          <w:ilvl w:val="0"/>
          <w:numId w:val="1016"/>
        </w:numPr>
      </w:pPr>
      <w:r>
        <w:t xml:space="preserve">Tenant context is enforced.</w:t>
      </w:r>
    </w:p>
    <w:p>
      <w:pPr>
        <w:pStyle w:val="Compact"/>
        <w:numPr>
          <w:ilvl w:val="0"/>
          <w:numId w:val="1016"/>
        </w:numPr>
      </w:pPr>
      <w:r>
        <w:t xml:space="preserve">Cross-tenant tests fail safely.</w:t>
      </w:r>
    </w:p>
    <w:p>
      <w:pPr>
        <w:pStyle w:val="Compact"/>
        <w:numPr>
          <w:ilvl w:val="0"/>
          <w:numId w:val="1016"/>
        </w:numPr>
      </w:pPr>
      <w:r>
        <w:t xml:space="preserve">CI/CD passes.</w:t>
      </w:r>
    </w:p>
    <w:p>
      <w:pPr>
        <w:pStyle w:val="Compact"/>
        <w:numPr>
          <w:ilvl w:val="0"/>
          <w:numId w:val="1016"/>
        </w:numPr>
      </w:pPr>
      <w:r>
        <w:t xml:space="preserve">No secrets in source.</w:t>
      </w:r>
    </w:p>
    <w:bookmarkEnd w:id="35"/>
    <w:bookmarkStart w:id="36" w:name="X4388e042068521ce8d56c5433198b86595cbcf1"/>
    <w:p>
      <w:pPr>
        <w:pStyle w:val="Heading3"/>
      </w:pPr>
      <w:r>
        <w:t xml:space="preserve">Sprint 2 — Runtime SDK, Element Anchoring, Property MTD Integration Contract &amp; Core Guidance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7"/>
        </w:numPr>
      </w:pPr>
      <w:r>
        <w:t xml:space="preserve">TypeScript runtime SDK.</w:t>
      </w:r>
    </w:p>
    <w:p>
      <w:pPr>
        <w:pStyle w:val="Compact"/>
        <w:numPr>
          <w:ilvl w:val="0"/>
          <w:numId w:val="1017"/>
        </w:numPr>
      </w:pPr>
      <w:r>
        <w:t xml:space="preserve">Blazor wrapper.</w:t>
      </w:r>
    </w:p>
    <w:p>
      <w:pPr>
        <w:pStyle w:val="Compact"/>
        <w:numPr>
          <w:ilvl w:val="0"/>
          <w:numId w:val="1017"/>
        </w:numPr>
      </w:pPr>
      <w:r>
        <w:t xml:space="preserve">SDK initialisation contract for Property MTD app shell.</w:t>
      </w:r>
    </w:p>
    <w:p>
      <w:pPr>
        <w:pStyle w:val="Compact"/>
        <w:numPr>
          <w:ilvl w:val="0"/>
          <w:numId w:val="1017"/>
        </w:numPr>
      </w:pPr>
      <w:r>
        <w:t xml:space="preserve">Safe</w:t>
      </w:r>
      <w:r>
        <w:t xml:space="preserve"> </w:t>
      </w:r>
      <w:r>
        <w:rPr>
          <w:rStyle w:val="VerbatimChar"/>
        </w:rPr>
        <w:t xml:space="preserve">/api/adoption/context</w:t>
      </w:r>
      <w:r>
        <w:t xml:space="preserve"> </w:t>
      </w:r>
      <w:r>
        <w:t xml:space="preserve">endpoint contract.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data-adopt-id</w:t>
      </w:r>
      <w:r>
        <w:t xml:space="preserve"> </w:t>
      </w:r>
      <w:r>
        <w:t xml:space="preserve">anchor contract.</w:t>
      </w:r>
    </w:p>
    <w:p>
      <w:pPr>
        <w:pStyle w:val="Compact"/>
        <w:numPr>
          <w:ilvl w:val="0"/>
          <w:numId w:val="1017"/>
        </w:numPr>
      </w:pPr>
      <w:r>
        <w:t xml:space="preserve">Content model.</w:t>
      </w:r>
    </w:p>
    <w:p>
      <w:pPr>
        <w:pStyle w:val="Compact"/>
        <w:numPr>
          <w:ilvl w:val="0"/>
          <w:numId w:val="1017"/>
        </w:numPr>
      </w:pPr>
      <w:r>
        <w:t xml:space="preserve">CDN/versioned bundle delivery.</w:t>
      </w:r>
    </w:p>
    <w:p>
      <w:pPr>
        <w:pStyle w:val="Compact"/>
        <w:numPr>
          <w:ilvl w:val="0"/>
          <w:numId w:val="1017"/>
        </w:numPr>
      </w:pPr>
      <w:r>
        <w:t xml:space="preserve">Client-side targeting.</w:t>
      </w:r>
    </w:p>
    <w:p>
      <w:pPr>
        <w:pStyle w:val="Compact"/>
        <w:numPr>
          <w:ilvl w:val="0"/>
          <w:numId w:val="1017"/>
        </w:numPr>
      </w:pPr>
      <w:r>
        <w:t xml:space="preserve">Walkthroughs, tooltips, banners, checklists, launchers, resource centre.</w:t>
      </w:r>
    </w:p>
    <w:p>
      <w:pPr>
        <w:pStyle w:val="Compact"/>
        <w:numPr>
          <w:ilvl w:val="0"/>
          <w:numId w:val="1017"/>
        </w:numPr>
      </w:pPr>
      <w:r>
        <w:t xml:space="preserve">Element engine v1.</w:t>
      </w:r>
    </w:p>
    <w:p>
      <w:pPr>
        <w:pStyle w:val="Compact"/>
        <w:numPr>
          <w:ilvl w:val="0"/>
          <w:numId w:val="1017"/>
        </w:numPr>
      </w:pPr>
      <w:r>
        <w:t xml:space="preserve">Property MTD first guide pack.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8"/>
        </w:numPr>
      </w:pPr>
      <w:r>
        <w:t xml:space="preserve">Guide runs inside an Adopta-hosted sample app and is ready for later Property MTD integration.</w:t>
      </w:r>
    </w:p>
    <w:p>
      <w:pPr>
        <w:pStyle w:val="Compact"/>
        <w:numPr>
          <w:ilvl w:val="0"/>
          <w:numId w:val="1018"/>
        </w:numPr>
      </w:pPr>
      <w:r>
        <w:t xml:space="preserve">Completion/dismissal persists.</w:t>
      </w:r>
    </w:p>
    <w:p>
      <w:pPr>
        <w:pStyle w:val="Compact"/>
        <w:numPr>
          <w:ilvl w:val="0"/>
          <w:numId w:val="1018"/>
        </w:numPr>
      </w:pPr>
      <w:r>
        <w:t xml:space="preserve">Runtime never breaks host app.</w:t>
      </w:r>
    </w:p>
    <w:p>
      <w:pPr>
        <w:pStyle w:val="Compact"/>
        <w:numPr>
          <w:ilvl w:val="0"/>
          <w:numId w:val="1018"/>
        </w:numPr>
      </w:pPr>
      <w:r>
        <w:t xml:space="preserve">No sensitive MTD data captured.</w:t>
      </w:r>
    </w:p>
    <w:p>
      <w:pPr>
        <w:pStyle w:val="Compact"/>
        <w:numPr>
          <w:ilvl w:val="0"/>
          <w:numId w:val="1018"/>
        </w:numPr>
      </w:pPr>
      <w:r>
        <w:t xml:space="preserve">Build/test pass.</w:t>
      </w:r>
    </w:p>
    <w:bookmarkEnd w:id="36"/>
    <w:bookmarkStart w:id="37" w:name="X9494530359d9adc66de3db11870670726cc3b01"/>
    <w:p>
      <w:pPr>
        <w:pStyle w:val="Heading3"/>
      </w:pPr>
      <w:r>
        <w:t xml:space="preserve">Sprint 3 — Authoring Studio, Governance &amp; Content Lifecycle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9"/>
        </w:numPr>
      </w:pPr>
      <w:r>
        <w:t xml:space="preserve">No-code authoring studio.</w:t>
      </w:r>
    </w:p>
    <w:p>
      <w:pPr>
        <w:pStyle w:val="Compact"/>
        <w:numPr>
          <w:ilvl w:val="0"/>
          <w:numId w:val="1019"/>
        </w:numPr>
      </w:pPr>
      <w:r>
        <w:t xml:space="preserve">In-app editor.</w:t>
      </w:r>
    </w:p>
    <w:p>
      <w:pPr>
        <w:pStyle w:val="Compact"/>
        <w:numPr>
          <w:ilvl w:val="0"/>
          <w:numId w:val="1019"/>
        </w:numPr>
      </w:pPr>
      <w:r>
        <w:t xml:space="preserve">Element capture.</w:t>
      </w:r>
    </w:p>
    <w:p>
      <w:pPr>
        <w:pStyle w:val="Compact"/>
        <w:numPr>
          <w:ilvl w:val="0"/>
          <w:numId w:val="1019"/>
        </w:numPr>
      </w:pPr>
      <w:r>
        <w:t xml:space="preserve">True runtime preview.</w:t>
      </w:r>
    </w:p>
    <w:p>
      <w:pPr>
        <w:pStyle w:val="Compact"/>
        <w:numPr>
          <w:ilvl w:val="0"/>
          <w:numId w:val="1019"/>
        </w:numPr>
      </w:pPr>
      <w:r>
        <w:t xml:space="preserve">Draft/review/approval/publish.</w:t>
      </w:r>
    </w:p>
    <w:p>
      <w:pPr>
        <w:pStyle w:val="Compact"/>
        <w:numPr>
          <w:ilvl w:val="0"/>
          <w:numId w:val="1019"/>
        </w:numPr>
      </w:pPr>
      <w:r>
        <w:t xml:space="preserve">Compliance approval for tax-sensitive content.</w:t>
      </w:r>
    </w:p>
    <w:p>
      <w:pPr>
        <w:pStyle w:val="Compact"/>
        <w:numPr>
          <w:ilvl w:val="0"/>
          <w:numId w:val="1019"/>
        </w:numPr>
      </w:pPr>
      <w:r>
        <w:t xml:space="preserve">Versioning.</w:t>
      </w:r>
    </w:p>
    <w:p>
      <w:pPr>
        <w:pStyle w:val="Compact"/>
        <w:numPr>
          <w:ilvl w:val="0"/>
          <w:numId w:val="1019"/>
        </w:numPr>
      </w:pPr>
      <w:r>
        <w:t xml:space="preserve">Rollback.</w:t>
      </w:r>
    </w:p>
    <w:p>
      <w:pPr>
        <w:pStyle w:val="Compact"/>
        <w:numPr>
          <w:ilvl w:val="0"/>
          <w:numId w:val="1019"/>
        </w:numPr>
      </w:pPr>
      <w:r>
        <w:t xml:space="preserve">Environment promotion.</w:t>
      </w:r>
    </w:p>
    <w:p>
      <w:pPr>
        <w:pStyle w:val="Compact"/>
        <w:numPr>
          <w:ilvl w:val="0"/>
          <w:numId w:val="1019"/>
        </w:numPr>
      </w:pPr>
      <w:r>
        <w:t xml:space="preserve">Theme/accessibility settings.</w:t>
      </w:r>
    </w:p>
    <w:p>
      <w:pPr>
        <w:pStyle w:val="Compact"/>
        <w:numPr>
          <w:ilvl w:val="0"/>
          <w:numId w:val="1019"/>
        </w:numPr>
      </w:pPr>
      <w:r>
        <w:t xml:space="preserve">Anchor-health v1.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20"/>
        </w:numPr>
      </w:pPr>
      <w:r>
        <w:t xml:space="preserve">Author can create, preview, approve, publish, and roll back a guide.</w:t>
      </w:r>
    </w:p>
    <w:p>
      <w:pPr>
        <w:pStyle w:val="Compact"/>
        <w:numPr>
          <w:ilvl w:val="0"/>
          <w:numId w:val="1020"/>
        </w:numPr>
      </w:pPr>
      <w:r>
        <w:t xml:space="preserve">Audit trail records all changes.</w:t>
      </w:r>
    </w:p>
    <w:p>
      <w:pPr>
        <w:pStyle w:val="Compact"/>
        <w:numPr>
          <w:ilvl w:val="0"/>
          <w:numId w:val="1020"/>
        </w:numPr>
      </w:pPr>
      <w:r>
        <w:t xml:space="preserve">Compliance gate blocks tax-sensitive content until approved.</w:t>
      </w:r>
    </w:p>
    <w:bookmarkEnd w:id="37"/>
    <w:bookmarkStart w:id="38" w:name="X78909a2625cb0a617659663890d9487f4558e99"/>
    <w:p>
      <w:pPr>
        <w:pStyle w:val="Heading3"/>
      </w:pPr>
      <w:r>
        <w:t xml:space="preserve">Sprint 4 — Analytics, Segmentation, AI Help &amp; Closed Loop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1"/>
        </w:numPr>
      </w:pPr>
      <w:r>
        <w:t xml:space="preserve">Runtime event collection.</w:t>
      </w:r>
    </w:p>
    <w:p>
      <w:pPr>
        <w:pStyle w:val="Compact"/>
        <w:numPr>
          <w:ilvl w:val="0"/>
          <w:numId w:val="1021"/>
        </w:numPr>
      </w:pPr>
      <w:r>
        <w:t xml:space="preserve">Event ingestion pipeline.</w:t>
      </w:r>
    </w:p>
    <w:p>
      <w:pPr>
        <w:pStyle w:val="Compact"/>
        <w:numPr>
          <w:ilvl w:val="0"/>
          <w:numId w:val="1021"/>
        </w:numPr>
      </w:pPr>
      <w:r>
        <w:t xml:space="preserve">Structural autocapture.</w:t>
      </w:r>
    </w:p>
    <w:p>
      <w:pPr>
        <w:pStyle w:val="Compact"/>
        <w:numPr>
          <w:ilvl w:val="0"/>
          <w:numId w:val="1021"/>
        </w:numPr>
      </w:pPr>
      <w:r>
        <w:t xml:space="preserve">Property MTD workflow event adapter.</w:t>
      </w:r>
    </w:p>
    <w:p>
      <w:pPr>
        <w:pStyle w:val="Compact"/>
        <w:numPr>
          <w:ilvl w:val="0"/>
          <w:numId w:val="1021"/>
        </w:numPr>
      </w:pPr>
      <w:r>
        <w:t xml:space="preserve">Funnel analytics.</w:t>
      </w:r>
    </w:p>
    <w:p>
      <w:pPr>
        <w:pStyle w:val="Compact"/>
        <w:numPr>
          <w:ilvl w:val="0"/>
          <w:numId w:val="1021"/>
        </w:numPr>
      </w:pPr>
      <w:r>
        <w:t xml:space="preserve">Guide performance analytics.</w:t>
      </w:r>
    </w:p>
    <w:p>
      <w:pPr>
        <w:pStyle w:val="Compact"/>
        <w:numPr>
          <w:ilvl w:val="0"/>
          <w:numId w:val="1021"/>
        </w:numPr>
      </w:pPr>
      <w:r>
        <w:t xml:space="preserve">Segment builder.</w:t>
      </w:r>
    </w:p>
    <w:p>
      <w:pPr>
        <w:pStyle w:val="Compact"/>
        <w:numPr>
          <w:ilvl w:val="0"/>
          <w:numId w:val="1021"/>
        </w:numPr>
      </w:pPr>
      <w:r>
        <w:t xml:space="preserve">Cohort-to-segment targeting.</w:t>
      </w:r>
    </w:p>
    <w:p>
      <w:pPr>
        <w:pStyle w:val="Compact"/>
        <w:numPr>
          <w:ilvl w:val="0"/>
          <w:numId w:val="1021"/>
        </w:numPr>
      </w:pPr>
      <w:r>
        <w:t xml:space="preserve">Self-help widget.</w:t>
      </w:r>
    </w:p>
    <w:p>
      <w:pPr>
        <w:pStyle w:val="Compact"/>
        <w:numPr>
          <w:ilvl w:val="0"/>
          <w:numId w:val="1021"/>
        </w:numPr>
      </w:pPr>
      <w:r>
        <w:t xml:space="preserve">RAG answer agent.</w:t>
      </w:r>
    </w:p>
    <w:p>
      <w:pPr>
        <w:pStyle w:val="Compact"/>
        <w:numPr>
          <w:ilvl w:val="0"/>
          <w:numId w:val="1021"/>
        </w:numPr>
      </w:pPr>
      <w:r>
        <w:t xml:space="preserve">AI co-author.</w:t>
      </w:r>
    </w:p>
    <w:p>
      <w:pPr>
        <w:pStyle w:val="Compact"/>
        <w:numPr>
          <w:ilvl w:val="0"/>
          <w:numId w:val="1021"/>
        </w:numPr>
      </w:pPr>
      <w:r>
        <w:t xml:space="preserve">AI insights agent.</w:t>
      </w:r>
    </w:p>
    <w:p>
      <w:pPr>
        <w:pStyle w:val="Compact"/>
        <w:numPr>
          <w:ilvl w:val="0"/>
          <w:numId w:val="1021"/>
        </w:numPr>
      </w:pPr>
      <w:r>
        <w:t xml:space="preserve">AI guardrails.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22"/>
        </w:numPr>
      </w:pPr>
      <w:r>
        <w:t xml:space="preserve">Product team sees drop-off in Property MTD workflows.</w:t>
      </w:r>
    </w:p>
    <w:p>
      <w:pPr>
        <w:pStyle w:val="Compact"/>
        <w:numPr>
          <w:ilvl w:val="0"/>
          <w:numId w:val="1022"/>
        </w:numPr>
      </w:pPr>
      <w:r>
        <w:t xml:space="preserve">Segment can be created from behaviour.</w:t>
      </w:r>
    </w:p>
    <w:p>
      <w:pPr>
        <w:pStyle w:val="Compact"/>
        <w:numPr>
          <w:ilvl w:val="0"/>
          <w:numId w:val="1022"/>
        </w:numPr>
      </w:pPr>
      <w:r>
        <w:t xml:space="preserve">Guidance can be targeted to that segment.</w:t>
      </w:r>
    </w:p>
    <w:p>
      <w:pPr>
        <w:pStyle w:val="Compact"/>
        <w:numPr>
          <w:ilvl w:val="0"/>
          <w:numId w:val="1022"/>
        </w:numPr>
      </w:pPr>
      <w:r>
        <w:t xml:space="preserve">AI answers only from approved knowledge with citations.</w:t>
      </w:r>
    </w:p>
    <w:p>
      <w:pPr>
        <w:pStyle w:val="Compact"/>
        <w:numPr>
          <w:ilvl w:val="0"/>
          <w:numId w:val="1022"/>
        </w:numPr>
      </w:pPr>
      <w:r>
        <w:t xml:space="preserve">Unsupported tax advice is refused/escalated.</w:t>
      </w:r>
    </w:p>
    <w:bookmarkEnd w:id="38"/>
    <w:bookmarkStart w:id="39" w:name="Xcefd42c56e18153947311f259e59e9f4a2483dd"/>
    <w:p>
      <w:pPr>
        <w:pStyle w:val="Heading3"/>
      </w:pPr>
      <w:r>
        <w:t xml:space="preserve">Sprint 5 — Enterprise Hardening, Extension &amp; Production Readiness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3"/>
        </w:numPr>
      </w:pPr>
      <w:r>
        <w:t xml:space="preserve">Custom roles.</w:t>
      </w:r>
    </w:p>
    <w:p>
      <w:pPr>
        <w:pStyle w:val="Compact"/>
        <w:numPr>
          <w:ilvl w:val="0"/>
          <w:numId w:val="1023"/>
        </w:numPr>
      </w:pPr>
      <w:r>
        <w:t xml:space="preserve">SCIM provisioning.</w:t>
      </w:r>
    </w:p>
    <w:p>
      <w:pPr>
        <w:pStyle w:val="Compact"/>
        <w:numPr>
          <w:ilvl w:val="0"/>
          <w:numId w:val="1023"/>
        </w:numPr>
      </w:pPr>
      <w:r>
        <w:t xml:space="preserve">Data residency controls.</w:t>
      </w:r>
    </w:p>
    <w:p>
      <w:pPr>
        <w:pStyle w:val="Compact"/>
        <w:numPr>
          <w:ilvl w:val="0"/>
          <w:numId w:val="1023"/>
        </w:numPr>
      </w:pPr>
      <w:r>
        <w:t xml:space="preserve">Silo tenant seam.</w:t>
      </w:r>
    </w:p>
    <w:p>
      <w:pPr>
        <w:pStyle w:val="Compact"/>
        <w:numPr>
          <w:ilvl w:val="0"/>
          <w:numId w:val="1023"/>
        </w:numPr>
      </w:pPr>
      <w:r>
        <w:t xml:space="preserve">Surveys/NPS.</w:t>
      </w:r>
    </w:p>
    <w:p>
      <w:pPr>
        <w:pStyle w:val="Compact"/>
        <w:numPr>
          <w:ilvl w:val="0"/>
          <w:numId w:val="1023"/>
        </w:numPr>
      </w:pPr>
      <w:r>
        <w:t xml:space="preserve">Data export.</w:t>
      </w:r>
    </w:p>
    <w:p>
      <w:pPr>
        <w:pStyle w:val="Compact"/>
        <w:numPr>
          <w:ilvl w:val="0"/>
          <w:numId w:val="1023"/>
        </w:numPr>
      </w:pPr>
      <w:r>
        <w:t xml:space="preserve">Webhooks.</w:t>
      </w:r>
    </w:p>
    <w:p>
      <w:pPr>
        <w:pStyle w:val="Compact"/>
        <w:numPr>
          <w:ilvl w:val="0"/>
          <w:numId w:val="1023"/>
        </w:numPr>
      </w:pPr>
      <w:r>
        <w:t xml:space="preserve">Browser extension mode.</w:t>
      </w:r>
    </w:p>
    <w:p>
      <w:pPr>
        <w:pStyle w:val="Compact"/>
        <w:numPr>
          <w:ilvl w:val="0"/>
          <w:numId w:val="1023"/>
        </w:numPr>
      </w:pPr>
      <w:r>
        <w:t xml:space="preserve">Element Library v1.</w:t>
      </w:r>
    </w:p>
    <w:p>
      <w:pPr>
        <w:pStyle w:val="Compact"/>
        <w:numPr>
          <w:ilvl w:val="0"/>
          <w:numId w:val="1023"/>
        </w:numPr>
      </w:pPr>
      <w:r>
        <w:t xml:space="preserve">Vision fallback behind opt-in.</w:t>
      </w:r>
    </w:p>
    <w:p>
      <w:pPr>
        <w:pStyle w:val="Compact"/>
        <w:numPr>
          <w:ilvl w:val="0"/>
          <w:numId w:val="1023"/>
        </w:numPr>
      </w:pPr>
      <w:r>
        <w:t xml:space="preserve">Performance/load tests.</w:t>
      </w:r>
    </w:p>
    <w:p>
      <w:pPr>
        <w:pStyle w:val="Compact"/>
        <w:numPr>
          <w:ilvl w:val="0"/>
          <w:numId w:val="1023"/>
        </w:numPr>
      </w:pPr>
      <w:r>
        <w:t xml:space="preserve">Security hardening.</w:t>
      </w:r>
    </w:p>
    <w:p>
      <w:pPr>
        <w:pStyle w:val="Compact"/>
        <w:numPr>
          <w:ilvl w:val="0"/>
          <w:numId w:val="1023"/>
        </w:numPr>
      </w:pPr>
      <w:r>
        <w:t xml:space="preserve">Backup/restore/DR runbooks.</w:t>
      </w:r>
    </w:p>
    <w:p>
      <w:pPr>
        <w:pStyle w:val="Compact"/>
        <w:numPr>
          <w:ilvl w:val="0"/>
          <w:numId w:val="1023"/>
        </w:numPr>
      </w:pPr>
      <w:r>
        <w:t xml:space="preserve">Production dashboards and alerts.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24"/>
        </w:numPr>
      </w:pPr>
      <w:r>
        <w:t xml:space="preserve">Platform is production-ready for Property MTD and future owned apps.</w:t>
      </w:r>
    </w:p>
    <w:p>
      <w:pPr>
        <w:pStyle w:val="Compact"/>
        <w:numPr>
          <w:ilvl w:val="0"/>
          <w:numId w:val="1024"/>
        </w:numPr>
      </w:pPr>
      <w:r>
        <w:t xml:space="preserve">Extension mode works for approved third-party domains.</w:t>
      </w:r>
    </w:p>
    <w:p>
      <w:pPr>
        <w:pStyle w:val="Compact"/>
        <w:numPr>
          <w:ilvl w:val="0"/>
          <w:numId w:val="1024"/>
        </w:numPr>
      </w:pPr>
      <w:r>
        <w:t xml:space="preserve">Load/security/isolation/accessibility tests pass.</w:t>
      </w:r>
    </w:p>
    <w:p>
      <w:pPr>
        <w:pStyle w:val="Compact"/>
        <w:numPr>
          <w:ilvl w:val="0"/>
          <w:numId w:val="1024"/>
        </w:numPr>
      </w:pPr>
      <w:r>
        <w:t xml:space="preserve">Operational runbooks exist.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-definition-of-done"/>
    <w:p>
      <w:pPr>
        <w:pStyle w:val="Heading2"/>
      </w:pPr>
      <w:r>
        <w:t xml:space="preserve">7. PR definition of done</w:t>
      </w:r>
    </w:p>
    <w:p>
      <w:pPr>
        <w:pStyle w:val="FirstParagraph"/>
      </w:pPr>
      <w:r>
        <w:t xml:space="preserve">A PR is complete only when:</w:t>
      </w:r>
    </w:p>
    <w:p>
      <w:pPr>
        <w:pStyle w:val="Compact"/>
        <w:numPr>
          <w:ilvl w:val="0"/>
          <w:numId w:val="1025"/>
        </w:numPr>
      </w:pPr>
      <w:r>
        <w:t xml:space="preserve">requirements and acceptance criteria are referenced;</w:t>
      </w:r>
    </w:p>
    <w:p>
      <w:pPr>
        <w:pStyle w:val="Compact"/>
        <w:numPr>
          <w:ilvl w:val="0"/>
          <w:numId w:val="1025"/>
        </w:numPr>
      </w:pPr>
      <w:r>
        <w:t xml:space="preserve">code is production quality;</w:t>
      </w:r>
    </w:p>
    <w:p>
      <w:pPr>
        <w:pStyle w:val="Compact"/>
        <w:numPr>
          <w:ilvl w:val="0"/>
          <w:numId w:val="1025"/>
        </w:numPr>
      </w:pPr>
      <w:r>
        <w:t xml:space="preserve">build passes;</w:t>
      </w:r>
    </w:p>
    <w:p>
      <w:pPr>
        <w:pStyle w:val="Compact"/>
        <w:numPr>
          <w:ilvl w:val="0"/>
          <w:numId w:val="1025"/>
        </w:numPr>
      </w:pPr>
      <w:r>
        <w:t xml:space="preserve">unit tests pass;</w:t>
      </w:r>
    </w:p>
    <w:p>
      <w:pPr>
        <w:pStyle w:val="Compact"/>
        <w:numPr>
          <w:ilvl w:val="0"/>
          <w:numId w:val="1025"/>
        </w:numPr>
      </w:pPr>
      <w:r>
        <w:t xml:space="preserve">integration tests pass where relevant;</w:t>
      </w:r>
    </w:p>
    <w:p>
      <w:pPr>
        <w:pStyle w:val="Compact"/>
        <w:numPr>
          <w:ilvl w:val="0"/>
          <w:numId w:val="1025"/>
        </w:numPr>
      </w:pPr>
      <w:r>
        <w:t xml:space="preserve">tenant isolation tests pass where relevant;</w:t>
      </w:r>
    </w:p>
    <w:p>
      <w:pPr>
        <w:pStyle w:val="Compact"/>
        <w:numPr>
          <w:ilvl w:val="0"/>
          <w:numId w:val="1025"/>
        </w:numPr>
      </w:pPr>
      <w:r>
        <w:t xml:space="preserve">accessibility tests pass for UI changes;</w:t>
      </w:r>
    </w:p>
    <w:p>
      <w:pPr>
        <w:pStyle w:val="Compact"/>
        <w:numPr>
          <w:ilvl w:val="0"/>
          <w:numId w:val="1025"/>
        </w:numPr>
      </w:pPr>
      <w:r>
        <w:t xml:space="preserve">security scans pass;</w:t>
      </w:r>
    </w:p>
    <w:p>
      <w:pPr>
        <w:pStyle w:val="Compact"/>
        <w:numPr>
          <w:ilvl w:val="0"/>
          <w:numId w:val="1025"/>
        </w:numPr>
      </w:pPr>
      <w:r>
        <w:t xml:space="preserve">documentation is updated;</w:t>
      </w:r>
    </w:p>
    <w:p>
      <w:pPr>
        <w:pStyle w:val="Compact"/>
        <w:numPr>
          <w:ilvl w:val="0"/>
          <w:numId w:val="1025"/>
        </w:numPr>
      </w:pPr>
      <w:r>
        <w:t xml:space="preserve">observability is added where relevant;</w:t>
      </w:r>
    </w:p>
    <w:p>
      <w:pPr>
        <w:pStyle w:val="Compact"/>
        <w:numPr>
          <w:ilvl w:val="0"/>
          <w:numId w:val="1025"/>
        </w:numPr>
      </w:pPr>
      <w:r>
        <w:t xml:space="preserve">no unrelated files are changed;</w:t>
      </w:r>
    </w:p>
    <w:p>
      <w:pPr>
        <w:pStyle w:val="Compact"/>
        <w:numPr>
          <w:ilvl w:val="0"/>
          <w:numId w:val="1025"/>
        </w:numPr>
      </w:pPr>
      <w:r>
        <w:t xml:space="preserve">no sensitive Property MTD data is collected;</w:t>
      </w:r>
    </w:p>
    <w:p>
      <w:pPr>
        <w:pStyle w:val="Compact"/>
        <w:numPr>
          <w:ilvl w:val="0"/>
          <w:numId w:val="1025"/>
        </w:numPr>
      </w:pPr>
      <w:r>
        <w:t xml:space="preserve">assumptions are recorded in the PR description.</w:t>
      </w:r>
    </w:p>
    <w:p>
      <w:r>
        <w:pict>
          <v:rect style="width:0;height:1.5pt" o:hralign="center" o:hrstd="t" o:hr="t"/>
        </w:pict>
      </w:r>
    </w:p>
    <w:bookmarkEnd w:id="41"/>
    <w:bookmarkStart w:id="42" w:name="first-codex-kickoff-prompt"/>
    <w:p>
      <w:pPr>
        <w:pStyle w:val="Heading2"/>
      </w:pPr>
      <w:r>
        <w:t xml:space="preserve">8. First Codex kickoff prompt</w:t>
      </w:r>
    </w:p>
    <w:p>
      <w:pPr>
        <w:pStyle w:val="SourceCode"/>
      </w:pPr>
      <w:r>
        <w:rPr>
          <w:rStyle w:val="VerbatimChar"/>
        </w:rPr>
        <w:t xml:space="preserve">Read the specification documents in /docs, especially 06-review-retrofit-decisions-and-spec-updates.md and this Codex build prompt.</w:t>
      </w:r>
      <w:r>
        <w:br/>
      </w:r>
      <w:r>
        <w:br/>
      </w:r>
      <w:r>
        <w:rPr>
          <w:rStyle w:val="VerbatimChar"/>
        </w:rPr>
        <w:t xml:space="preserve">Begin Sprint 1: SaaS Foundation, Security &amp; Platform Skeleton.</w:t>
      </w:r>
      <w:r>
        <w:br/>
      </w:r>
      <w:r>
        <w:br/>
      </w:r>
      <w:r>
        <w:rPr>
          <w:rStyle w:val="VerbatimChar"/>
        </w:rPr>
        <w:t xml:space="preserve">Use Visual Studio and .NET 9 / ASP.NET Core as the control-plane default. Use GitHub Actions and Bicep for Azure infrastructure. Create a production-ready foundation, not a prototype.</w:t>
      </w:r>
      <w:r>
        <w:br/>
      </w:r>
      <w:r>
        <w:br/>
      </w:r>
      <w:r>
        <w:rPr>
          <w:rStyle w:val="VerbatimChar"/>
        </w:rPr>
        <w:t xml:space="preserve">Implement in small PR-sized slices:</w:t>
      </w:r>
      <w:r>
        <w:br/>
      </w:r>
      <w:r>
        <w:rPr>
          <w:rStyle w:val="VerbatimChar"/>
        </w:rPr>
        <w:t xml:space="preserve">1. solution/repo structure;</w:t>
      </w:r>
      <w:r>
        <w:br/>
      </w:r>
      <w:r>
        <w:rPr>
          <w:rStyle w:val="VerbatimChar"/>
        </w:rPr>
        <w:t xml:space="preserve">2. Entra authentication shell;</w:t>
      </w:r>
      <w:r>
        <w:br/>
      </w:r>
      <w:r>
        <w:rPr>
          <w:rStyle w:val="VerbatimChar"/>
        </w:rPr>
        <w:t xml:space="preserve">3. tenant model and database isolation;</w:t>
      </w:r>
      <w:r>
        <w:br/>
      </w:r>
      <w:r>
        <w:rPr>
          <w:rStyle w:val="VerbatimChar"/>
        </w:rPr>
        <w:t xml:space="preserve">4. RBAC and audit;</w:t>
      </w:r>
      <w:r>
        <w:br/>
      </w:r>
      <w:r>
        <w:rPr>
          <w:rStyle w:val="VerbatimChar"/>
        </w:rPr>
        <w:t xml:space="preserve">5. CI/CD and security gates;</w:t>
      </w:r>
      <w:r>
        <w:br/>
      </w:r>
      <w:r>
        <w:rPr>
          <w:rStyle w:val="VerbatimChar"/>
        </w:rPr>
        <w:t xml:space="preserve">6. observability;</w:t>
      </w:r>
      <w:r>
        <w:br/>
      </w:r>
      <w:r>
        <w:rPr>
          <w:rStyle w:val="VerbatimChar"/>
        </w:rPr>
        <w:t xml:space="preserve">7. cross-tenant isolation test harness.</w:t>
      </w:r>
      <w:r>
        <w:br/>
      </w:r>
      <w:r>
        <w:br/>
      </w:r>
      <w:r>
        <w:rPr>
          <w:rStyle w:val="VerbatimChar"/>
        </w:rPr>
        <w:t xml:space="preserve">Do not touch the Property MTD repository in Sprint 1. Future Property MTD integration must be handled through a separate controlled branch after the SDK contract is ready.</w:t>
      </w:r>
      <w:r>
        <w:br/>
      </w:r>
      <w:r>
        <w:br/>
      </w:r>
      <w:r>
        <w:rPr>
          <w:rStyle w:val="VerbatimChar"/>
        </w:rPr>
        <w:t xml:space="preserve">Every PR must state requirement IDs, files changed, tests added, commands run, assumptions, and tenant/security impact.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2026-06-27T16:15:49Z</dcterms:created>
  <dcterms:modified xsi:type="dcterms:W3CDTF">2026-06-27T16:15:49Z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