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9cf6d82dea95c558020356b5e4c2e23d88ab421"/>
    <w:p>
      <w:pPr>
        <w:pStyle w:val="Heading1"/>
      </w:pPr>
      <w:r>
        <w:t xml:space="preserve">06 — Review, Retrofit Decisions &amp; Specification Updates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Property MTD Adoption Platform / Digital Adoption Platform SaaS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Review of the uploaded Adopta specification pack and the concrete decisions to retrofit into the Property MTD adoption solution.</w:t>
      </w:r>
      <w:r>
        <w:br/>
      </w:r>
      <w:r>
        <w:rPr>
          <w:b/>
          <w:bCs/>
        </w:rPr>
        <w:t xml:space="preserve">Decision:</w:t>
      </w:r>
      <w:r>
        <w:t xml:space="preserve"> </w:t>
      </w:r>
      <w:r>
        <w:t xml:space="preserve">Adopt the uploaded pack as a strong baseline, but amend it for Property MTD, Codex + Visual Studio delivery, .NET/Blazor alignment, and a maximum five-sprint production build.</w:t>
      </w:r>
    </w:p>
    <w:p>
      <w:r>
        <w:pict>
          <v:rect style="width:0;height:1.5pt" o:hralign="center" o:hrstd="t" o:hr="t"/>
        </w:pict>
      </w:r>
    </w:p>
    <w:bookmarkStart w:id="20" w:name="executive-decision"/>
    <w:p>
      <w:pPr>
        <w:pStyle w:val="Heading2"/>
      </w:pPr>
      <w:r>
        <w:t xml:space="preserve">1. Executive decision</w:t>
      </w:r>
    </w:p>
    <w:p>
      <w:pPr>
        <w:pStyle w:val="FirstParagraph"/>
      </w:pPr>
      <w:r>
        <w:t xml:space="preserve">The uploaded specification pack is strong and should become the baseline for the DAP solution, with amendments. Its strongest contributions are:</w:t>
      </w:r>
    </w:p>
    <w:p>
      <w:pPr>
        <w:pStyle w:val="Compact"/>
        <w:numPr>
          <w:ilvl w:val="0"/>
          <w:numId w:val="1001"/>
        </w:numPr>
      </w:pPr>
      <w:r>
        <w:t xml:space="preserve">a clear DAP capability model;</w:t>
      </w:r>
    </w:p>
    <w:p>
      <w:pPr>
        <w:pStyle w:val="Compact"/>
        <w:numPr>
          <w:ilvl w:val="0"/>
          <w:numId w:val="1001"/>
        </w:numPr>
      </w:pPr>
      <w:r>
        <w:t xml:space="preserve">strong competitor-derived thinking from VisualSP, WalkMe, Whatfix, and Pendo;</w:t>
      </w:r>
    </w:p>
    <w:p>
      <w:pPr>
        <w:pStyle w:val="Compact"/>
        <w:numPr>
          <w:ilvl w:val="0"/>
          <w:numId w:val="1001"/>
        </w:numPr>
      </w:pPr>
      <w:r>
        <w:t xml:space="preserve">a serious resilient element-engine design;</w:t>
      </w:r>
    </w:p>
    <w:p>
      <w:pPr>
        <w:pStyle w:val="Compact"/>
        <w:numPr>
          <w:ilvl w:val="0"/>
          <w:numId w:val="1001"/>
        </w:numPr>
      </w:pPr>
      <w:r>
        <w:t xml:space="preserve">Microsoft Entra-first identity;</w:t>
      </w:r>
    </w:p>
    <w:p>
      <w:pPr>
        <w:pStyle w:val="Compact"/>
        <w:numPr>
          <w:ilvl w:val="0"/>
          <w:numId w:val="1001"/>
        </w:numPr>
      </w:pPr>
      <w:r>
        <w:t xml:space="preserve">production-grade SaaS multi-tenancy from the outset;</w:t>
      </w:r>
    </w:p>
    <w:p>
      <w:pPr>
        <w:pStyle w:val="Compact"/>
        <w:numPr>
          <w:ilvl w:val="0"/>
          <w:numId w:val="1001"/>
        </w:numPr>
      </w:pPr>
      <w:r>
        <w:t xml:space="preserve">analytics and guidance built on one unified data model;</w:t>
      </w:r>
    </w:p>
    <w:p>
      <w:pPr>
        <w:pStyle w:val="Compact"/>
        <w:numPr>
          <w:ilvl w:val="0"/>
          <w:numId w:val="1001"/>
        </w:numPr>
      </w:pPr>
      <w:r>
        <w:t xml:space="preserve">strong UI/UX wireframes;</w:t>
      </w:r>
    </w:p>
    <w:p>
      <w:pPr>
        <w:pStyle w:val="Compact"/>
        <w:numPr>
          <w:ilvl w:val="0"/>
          <w:numId w:val="1001"/>
        </w:numPr>
      </w:pPr>
      <w:r>
        <w:t xml:space="preserve">a structured AI-native product direction;</w:t>
      </w:r>
    </w:p>
    <w:p>
      <w:pPr>
        <w:pStyle w:val="Compact"/>
        <w:numPr>
          <w:ilvl w:val="0"/>
          <w:numId w:val="1001"/>
        </w:numPr>
      </w:pPr>
      <w:r>
        <w:t xml:space="preserve">a build prompt that can be converted into a Codex + Visual Studio implementation playbook.</w:t>
      </w:r>
    </w:p>
    <w:p>
      <w:pPr>
        <w:pStyle w:val="FirstParagraph"/>
      </w:pPr>
      <w:r>
        <w:t xml:space="preserve">The main changes required are:</w:t>
      </w:r>
    </w:p>
    <w:p>
      <w:pPr>
        <w:pStyle w:val="Compact"/>
        <w:numPr>
          <w:ilvl w:val="0"/>
          <w:numId w:val="1002"/>
        </w:numPr>
      </w:pPr>
      <w:r>
        <w:t xml:space="preserve">adapt from</w:t>
      </w:r>
      <w:r>
        <w:t xml:space="preserve"> </w:t>
      </w:r>
      <w:r>
        <w:rPr>
          <w:b/>
          <w:bCs/>
        </w:rPr>
        <w:t xml:space="preserve">Claude Code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Codex + Visual Studio + GitHub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adapt from</w:t>
      </w:r>
      <w:r>
        <w:t xml:space="preserve"> </w:t>
      </w:r>
      <w:r>
        <w:rPr>
          <w:b/>
          <w:bCs/>
        </w:rPr>
        <w:t xml:space="preserve">TypeScript-first/NestJS-first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.NET-first for the SaaS control plane</w:t>
      </w:r>
      <w:r>
        <w:t xml:space="preserve">, while keeping TypeScript for the runtime SDK and browser extension;</w:t>
      </w:r>
    </w:p>
    <w:p>
      <w:pPr>
        <w:pStyle w:val="Compact"/>
        <w:numPr>
          <w:ilvl w:val="0"/>
          <w:numId w:val="1002"/>
        </w:numPr>
      </w:pPr>
      <w:r>
        <w:t xml:space="preserve">adapt from</w:t>
      </w:r>
      <w:r>
        <w:t xml:space="preserve"> </w:t>
      </w:r>
      <w:r>
        <w:rPr>
          <w:b/>
          <w:bCs/>
        </w:rPr>
        <w:t xml:space="preserve">zero-code everywhere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dual delivery</w:t>
      </w:r>
      <w:r>
        <w:t xml:space="preserve">: first-party SDK for Property MTD and future owned apps, browser extension for third-party apps;</w:t>
      </w:r>
    </w:p>
    <w:p>
      <w:pPr>
        <w:pStyle w:val="Compact"/>
        <w:numPr>
          <w:ilvl w:val="0"/>
          <w:numId w:val="1002"/>
        </w:numPr>
      </w:pPr>
      <w:r>
        <w:t xml:space="preserve">collapse the six-phase plan into</w:t>
      </w:r>
      <w:r>
        <w:t xml:space="preserve"> </w:t>
      </w:r>
      <w:r>
        <w:rPr>
          <w:b/>
          <w:bCs/>
        </w:rPr>
        <w:t xml:space="preserve">maximum five production sprints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move mobile, VDI/Citrix, session replay, simulation training, and full cross-app agent orchestration to later roadmap unless specifically required for the first commercial release;</w:t>
      </w:r>
    </w:p>
    <w:p>
      <w:pPr>
        <w:pStyle w:val="Compact"/>
        <w:numPr>
          <w:ilvl w:val="0"/>
          <w:numId w:val="1002"/>
        </w:numPr>
      </w:pPr>
      <w:r>
        <w:t xml:space="preserve">add a dedicated</w:t>
      </w:r>
      <w:r>
        <w:t xml:space="preserve"> </w:t>
      </w:r>
      <w:r>
        <w:rPr>
          <w:b/>
          <w:bCs/>
        </w:rPr>
        <w:t xml:space="preserve">Property MTD integration specification</w:t>
      </w:r>
      <w:r>
        <w:t xml:space="preserve"> </w:t>
      </w:r>
      <w:r>
        <w:t xml:space="preserve">covering HMRC-safe workflow context, no tax-data leakage, Blazor anchors, and backend domain events.</w:t>
      </w:r>
    </w:p>
    <w:p>
      <w:r>
        <w:pict>
          <v:rect style="width:0;height:1.5pt" o:hralign="center" o:hrstd="t" o:hr="t"/>
        </w:pict>
      </w:r>
    </w:p>
    <w:bookmarkEnd w:id="20"/>
    <w:bookmarkStart w:id="31" w:name="X88538f81da24849f3f798377bba53a8fee30622"/>
    <w:p>
      <w:pPr>
        <w:pStyle w:val="Heading2"/>
      </w:pPr>
      <w:r>
        <w:t xml:space="preserve">2. Beneficial items to retrofit into our solution</w:t>
      </w:r>
    </w:p>
    <w:bookmarkStart w:id="21" w:name="product-strategy-and-positioning"/>
    <w:p>
      <w:pPr>
        <w:pStyle w:val="Heading3"/>
      </w:pPr>
      <w:r>
        <w:t xml:space="preserve">2.1 Product strategy and positioning</w:t>
      </w:r>
    </w:p>
    <w:p>
      <w:pPr>
        <w:pStyle w:val="Compact"/>
        <w:numPr>
          <w:ilvl w:val="0"/>
          <w:numId w:val="1003"/>
        </w:numPr>
      </w:pPr>
      <w:r>
        <w:t xml:space="preserve">Adopt the four-layer DAP capability model:</w:t>
      </w:r>
    </w:p>
    <w:p>
      <w:pPr>
        <w:pStyle w:val="Compact"/>
        <w:numPr>
          <w:ilvl w:val="1"/>
          <w:numId w:val="1004"/>
        </w:numPr>
      </w:pPr>
      <w:r>
        <w:t xml:space="preserve">guidance;</w:t>
      </w:r>
    </w:p>
    <w:p>
      <w:pPr>
        <w:pStyle w:val="Compact"/>
        <w:numPr>
          <w:ilvl w:val="1"/>
          <w:numId w:val="1004"/>
        </w:numPr>
      </w:pPr>
      <w:r>
        <w:t xml:space="preserve">self-service support;</w:t>
      </w:r>
    </w:p>
    <w:p>
      <w:pPr>
        <w:pStyle w:val="Compact"/>
        <w:numPr>
          <w:ilvl w:val="1"/>
          <w:numId w:val="1004"/>
        </w:numPr>
      </w:pPr>
      <w:r>
        <w:t xml:space="preserve">analytics;</w:t>
      </w:r>
    </w:p>
    <w:p>
      <w:pPr>
        <w:pStyle w:val="Compact"/>
        <w:numPr>
          <w:ilvl w:val="1"/>
          <w:numId w:val="1004"/>
        </w:numPr>
      </w:pPr>
      <w:r>
        <w:t xml:space="preserve">engagement and feedback.</w:t>
      </w:r>
    </w:p>
    <w:p>
      <w:pPr>
        <w:pStyle w:val="Compact"/>
        <w:numPr>
          <w:ilvl w:val="0"/>
          <w:numId w:val="1003"/>
        </w:numPr>
      </w:pPr>
      <w:r>
        <w:t xml:space="preserve">Keep the product vision of a production-grade multi-tenant SaaS DAP.</w:t>
      </w:r>
    </w:p>
    <w:p>
      <w:pPr>
        <w:pStyle w:val="Compact"/>
        <w:numPr>
          <w:ilvl w:val="0"/>
          <w:numId w:val="1003"/>
        </w:numPr>
      </w:pPr>
      <w:r>
        <w:t xml:space="preserve">Keep the product principles: privacy by construction, performance as a feature, one data model, AI as human-in-the-loop, and multi-tenant secure from commit one.</w:t>
      </w:r>
    </w:p>
    <w:p>
      <w:pPr>
        <w:pStyle w:val="Compact"/>
        <w:numPr>
          <w:ilvl w:val="0"/>
          <w:numId w:val="1003"/>
        </w:numPr>
      </w:pPr>
      <w:r>
        <w:t xml:space="preserve">Keep the competitor benchmark framing:</w:t>
      </w:r>
    </w:p>
    <w:p>
      <w:pPr>
        <w:pStyle w:val="Compact"/>
        <w:numPr>
          <w:ilvl w:val="1"/>
          <w:numId w:val="1005"/>
        </w:numPr>
      </w:pPr>
      <w:r>
        <w:t xml:space="preserve">WalkMe = durable guidance and enterprise app coverage;</w:t>
      </w:r>
    </w:p>
    <w:p>
      <w:pPr>
        <w:pStyle w:val="Compact"/>
        <w:numPr>
          <w:ilvl w:val="1"/>
          <w:numId w:val="1005"/>
        </w:numPr>
      </w:pPr>
      <w:r>
        <w:t xml:space="preserve">Whatfix = AI-native guidance and analytics;</w:t>
      </w:r>
    </w:p>
    <w:p>
      <w:pPr>
        <w:pStyle w:val="Compact"/>
        <w:numPr>
          <w:ilvl w:val="1"/>
          <w:numId w:val="1005"/>
        </w:numPr>
      </w:pPr>
      <w:r>
        <w:t xml:space="preserve">Pendo = product analytics and retroactive capture;</w:t>
      </w:r>
    </w:p>
    <w:p>
      <w:pPr>
        <w:pStyle w:val="Compact"/>
        <w:numPr>
          <w:ilvl w:val="1"/>
          <w:numId w:val="1005"/>
        </w:numPr>
      </w:pPr>
      <w:r>
        <w:t xml:space="preserve">VisualSP = Microsoft-native contextual help.</w:t>
      </w:r>
    </w:p>
    <w:p>
      <w:pPr>
        <w:pStyle w:val="Compact"/>
        <w:numPr>
          <w:ilvl w:val="0"/>
          <w:numId w:val="1003"/>
        </w:numPr>
      </w:pPr>
      <w:r>
        <w:t xml:space="preserve">Keep the strategic differentiation of a Microsoft-secured, AI-native, analytics-led DAP.</w:t>
      </w:r>
    </w:p>
    <w:p>
      <w:pPr>
        <w:pStyle w:val="Compact"/>
        <w:numPr>
          <w:ilvl w:val="0"/>
          <w:numId w:val="1003"/>
        </w:numPr>
      </w:pPr>
      <w:r>
        <w:t xml:space="preserve">Keep the principle that the solution should become reusable IP, not just a Property MTD feature.</w:t>
      </w:r>
    </w:p>
    <w:bookmarkEnd w:id="21"/>
    <w:bookmarkStart w:id="22" w:name="microsoft-identity-and-saas-security"/>
    <w:p>
      <w:pPr>
        <w:pStyle w:val="Heading3"/>
      </w:pPr>
      <w:r>
        <w:t xml:space="preserve">2.2 Microsoft identity and SaaS security</w:t>
      </w:r>
    </w:p>
    <w:p>
      <w:pPr>
        <w:pStyle w:val="Compact"/>
        <w:numPr>
          <w:ilvl w:val="0"/>
          <w:numId w:val="1006"/>
        </w:numPr>
      </w:pPr>
      <w:r>
        <w:t xml:space="preserve">Use Microsoft Entra ID for workforce/admin users.</w:t>
      </w:r>
    </w:p>
    <w:p>
      <w:pPr>
        <w:pStyle w:val="Compact"/>
        <w:numPr>
          <w:ilvl w:val="0"/>
          <w:numId w:val="1006"/>
        </w:numPr>
      </w:pPr>
      <w:r>
        <w:t xml:space="preserve">Use Microsoft Entra External ID for customer/consumer identities.</w:t>
      </w:r>
    </w:p>
    <w:p>
      <w:pPr>
        <w:pStyle w:val="Compact"/>
        <w:numPr>
          <w:ilvl w:val="0"/>
          <w:numId w:val="1006"/>
        </w:numPr>
      </w:pPr>
      <w:r>
        <w:t xml:space="preserve">Do not use Azure AD B2C for greenfield work.</w:t>
      </w:r>
    </w:p>
    <w:p>
      <w:pPr>
        <w:pStyle w:val="Compact"/>
        <w:numPr>
          <w:ilvl w:val="0"/>
          <w:numId w:val="1006"/>
        </w:numPr>
      </w:pPr>
      <w:r>
        <w:t xml:space="preserve">Support Conditional Access and MFA.</w:t>
      </w:r>
    </w:p>
    <w:p>
      <w:pPr>
        <w:pStyle w:val="Compact"/>
        <w:numPr>
          <w:ilvl w:val="0"/>
          <w:numId w:val="1006"/>
        </w:numPr>
      </w:pPr>
      <w:r>
        <w:t xml:space="preserve">Support RBAC from the first sprint.</w:t>
      </w:r>
    </w:p>
    <w:p>
      <w:pPr>
        <w:pStyle w:val="Compact"/>
        <w:numPr>
          <w:ilvl w:val="0"/>
          <w:numId w:val="1006"/>
        </w:numPr>
      </w:pPr>
      <w:r>
        <w:t xml:space="preserve">Add SCIM provisioning as an enterprise requirement.</w:t>
      </w:r>
    </w:p>
    <w:p>
      <w:pPr>
        <w:pStyle w:val="Compact"/>
        <w:numPr>
          <w:ilvl w:val="0"/>
          <w:numId w:val="1006"/>
        </w:numPr>
      </w:pPr>
      <w:r>
        <w:t xml:space="preserve">Enforce strict tenant isolation in application code, database, analytics, cache, storage, and AI retrieval.</w:t>
      </w:r>
    </w:p>
    <w:p>
      <w:pPr>
        <w:pStyle w:val="Compact"/>
        <w:numPr>
          <w:ilvl w:val="0"/>
          <w:numId w:val="1006"/>
        </w:numPr>
      </w:pPr>
      <w:r>
        <w:t xml:space="preserve">Include an automated tenant-isolation test harness as a non-negotiable CI gate.</w:t>
      </w:r>
    </w:p>
    <w:p>
      <w:pPr>
        <w:pStyle w:val="Compact"/>
        <w:numPr>
          <w:ilvl w:val="0"/>
          <w:numId w:val="1006"/>
        </w:numPr>
      </w:pPr>
      <w:r>
        <w:t xml:space="preserve">Include complete audit logging from the start.</w:t>
      </w:r>
    </w:p>
    <w:p>
      <w:pPr>
        <w:pStyle w:val="Compact"/>
        <w:numPr>
          <w:ilvl w:val="0"/>
          <w:numId w:val="1006"/>
        </w:numPr>
      </w:pPr>
      <w:r>
        <w:t xml:space="preserve">Include tenant/domain/app scoping so the runtime only executes where allowed.</w:t>
      </w:r>
    </w:p>
    <w:bookmarkEnd w:id="22"/>
    <w:bookmarkStart w:id="23" w:name="architecture"/>
    <w:p>
      <w:pPr>
        <w:pStyle w:val="Heading3"/>
      </w:pPr>
      <w:r>
        <w:t xml:space="preserve">2.3 Architecture</w:t>
      </w:r>
    </w:p>
    <w:p>
      <w:pPr>
        <w:pStyle w:val="Compact"/>
        <w:numPr>
          <w:ilvl w:val="0"/>
          <w:numId w:val="1007"/>
        </w:numPr>
      </w:pPr>
      <w:r>
        <w:t xml:space="preserve">Keep the four-plane architecture:</w:t>
      </w:r>
    </w:p>
    <w:p>
      <w:pPr>
        <w:pStyle w:val="Compact"/>
        <w:numPr>
          <w:ilvl w:val="1"/>
          <w:numId w:val="1008"/>
        </w:numPr>
      </w:pPr>
      <w:r>
        <w:t xml:space="preserve">Runtime/Edge plane;</w:t>
      </w:r>
    </w:p>
    <w:p>
      <w:pPr>
        <w:pStyle w:val="Compact"/>
        <w:numPr>
          <w:ilvl w:val="1"/>
          <w:numId w:val="1008"/>
        </w:numPr>
      </w:pPr>
      <w:r>
        <w:t xml:space="preserve">Experience/Admin plane;</w:t>
      </w:r>
    </w:p>
    <w:p>
      <w:pPr>
        <w:pStyle w:val="Compact"/>
        <w:numPr>
          <w:ilvl w:val="1"/>
          <w:numId w:val="1008"/>
        </w:numPr>
      </w:pPr>
      <w:r>
        <w:t xml:space="preserve">Control plane;</w:t>
      </w:r>
    </w:p>
    <w:p>
      <w:pPr>
        <w:pStyle w:val="Compact"/>
        <w:numPr>
          <w:ilvl w:val="1"/>
          <w:numId w:val="1008"/>
        </w:numPr>
      </w:pPr>
      <w:r>
        <w:t xml:space="preserve">Data plane.</w:t>
      </w:r>
    </w:p>
    <w:p>
      <w:pPr>
        <w:pStyle w:val="Compact"/>
        <w:numPr>
          <w:ilvl w:val="0"/>
          <w:numId w:val="1007"/>
        </w:numPr>
      </w:pPr>
      <w:r>
        <w:t xml:space="preserve">Keep Azure Front Door/WAF, API Management, Key Vault, App Configuration, Blob/CDN, Event Hubs, Azure AI Search, and OpenTelemetry.</w:t>
      </w:r>
    </w:p>
    <w:p>
      <w:pPr>
        <w:pStyle w:val="Compact"/>
        <w:numPr>
          <w:ilvl w:val="0"/>
          <w:numId w:val="1007"/>
        </w:numPr>
      </w:pPr>
      <w:r>
        <w:t xml:space="preserve">Keep Azure Container Apps or App Service as the primary deployment model, with an AKS seam later if needed.</w:t>
      </w:r>
    </w:p>
    <w:p>
      <w:pPr>
        <w:pStyle w:val="Compact"/>
        <w:numPr>
          <w:ilvl w:val="0"/>
          <w:numId w:val="1007"/>
        </w:numPr>
      </w:pPr>
      <w:r>
        <w:t xml:space="preserve">Keep Infrastructure as Code using Bicep unless Terraform is preferred for portability.</w:t>
      </w:r>
    </w:p>
    <w:p>
      <w:pPr>
        <w:pStyle w:val="Compact"/>
        <w:numPr>
          <w:ilvl w:val="0"/>
          <w:numId w:val="1007"/>
        </w:numPr>
      </w:pPr>
      <w:r>
        <w:t xml:space="preserve">Keep GitHub Actions with CodeQL, dependency scanning, secret scanning, tests, and deployment gates.</w:t>
      </w:r>
    </w:p>
    <w:p>
      <w:pPr>
        <w:pStyle w:val="Compact"/>
        <w:numPr>
          <w:ilvl w:val="0"/>
          <w:numId w:val="1007"/>
        </w:numPr>
      </w:pPr>
      <w:r>
        <w:t xml:space="preserve">Keep OpenTelemetry and tenant-aware observability.</w:t>
      </w:r>
    </w:p>
    <w:p>
      <w:pPr>
        <w:pStyle w:val="Compact"/>
        <w:numPr>
          <w:ilvl w:val="0"/>
          <w:numId w:val="1007"/>
        </w:numPr>
      </w:pPr>
      <w:r>
        <w:t xml:space="preserve">Keep the split between OLTP configuration/content storage and OLAP event analytics.</w:t>
      </w:r>
    </w:p>
    <w:p>
      <w:pPr>
        <w:pStyle w:val="Compact"/>
        <w:numPr>
          <w:ilvl w:val="0"/>
          <w:numId w:val="1007"/>
        </w:numPr>
      </w:pPr>
      <w:r>
        <w:t xml:space="preserve">Keep a silo seam for enterprise tenants that require dedicated infrastructure.</w:t>
      </w:r>
    </w:p>
    <w:bookmarkEnd w:id="23"/>
    <w:bookmarkStart w:id="24" w:name="runtime-sdk-and-delivery"/>
    <w:p>
      <w:pPr>
        <w:pStyle w:val="Heading3"/>
      </w:pPr>
      <w:r>
        <w:t xml:space="preserve">2.4 Runtime SDK and delivery</w:t>
      </w:r>
    </w:p>
    <w:p>
      <w:pPr>
        <w:pStyle w:val="Compact"/>
        <w:numPr>
          <w:ilvl w:val="0"/>
          <w:numId w:val="1009"/>
        </w:numPr>
      </w:pPr>
      <w:r>
        <w:t xml:space="preserve">Keep the JavaScript/TypeScript runtime SDK.</w:t>
      </w:r>
    </w:p>
    <w:p>
      <w:pPr>
        <w:pStyle w:val="Compact"/>
        <w:numPr>
          <w:ilvl w:val="0"/>
          <w:numId w:val="1009"/>
        </w:numPr>
      </w:pPr>
      <w:r>
        <w:t xml:space="preserve">Keep async, non-blocking CDN delivery.</w:t>
      </w:r>
    </w:p>
    <w:p>
      <w:pPr>
        <w:pStyle w:val="Compact"/>
        <w:numPr>
          <w:ilvl w:val="0"/>
          <w:numId w:val="1009"/>
        </w:numPr>
      </w:pPr>
      <w:r>
        <w:t xml:space="preserve">Keep versioned content bundles.</w:t>
      </w:r>
    </w:p>
    <w:p>
      <w:pPr>
        <w:pStyle w:val="Compact"/>
        <w:numPr>
          <w:ilvl w:val="0"/>
          <w:numId w:val="1009"/>
        </w:numPr>
      </w:pPr>
      <w:r>
        <w:t xml:space="preserve">Keep client-side targeting/rule evaluation for speed and resilience.</w:t>
      </w:r>
    </w:p>
    <w:p>
      <w:pPr>
        <w:pStyle w:val="Compact"/>
        <w:numPr>
          <w:ilvl w:val="0"/>
          <w:numId w:val="1009"/>
        </w:numPr>
      </w:pPr>
      <w:r>
        <w:t xml:space="preserve">Keep Shadow DOM or equivalent style isolation.</w:t>
      </w:r>
    </w:p>
    <w:p>
      <w:pPr>
        <w:pStyle w:val="Compact"/>
        <w:numPr>
          <w:ilvl w:val="0"/>
          <w:numId w:val="1009"/>
        </w:numPr>
      </w:pPr>
      <w:r>
        <w:t xml:space="preserve">Keep safe failure: the adoption runtime must never break Property MTD or a host application.</w:t>
      </w:r>
    </w:p>
    <w:p>
      <w:pPr>
        <w:pStyle w:val="Compact"/>
        <w:numPr>
          <w:ilvl w:val="0"/>
          <w:numId w:val="1009"/>
        </w:numPr>
      </w:pPr>
      <w:r>
        <w:t xml:space="preserve">Keep preview/QA channels separate from production content.</w:t>
      </w:r>
    </w:p>
    <w:p>
      <w:pPr>
        <w:pStyle w:val="Compact"/>
        <w:numPr>
          <w:ilvl w:val="0"/>
          <w:numId w:val="1009"/>
        </w:numPr>
      </w:pPr>
      <w:r>
        <w:t xml:space="preserve">Keep browser extension support as the zero-code route for third-party apps, but not as the primary route for Property MTD.</w:t>
      </w:r>
    </w:p>
    <w:bookmarkEnd w:id="24"/>
    <w:bookmarkStart w:id="25" w:name="element-engine"/>
    <w:p>
      <w:pPr>
        <w:pStyle w:val="Heading3"/>
      </w:pPr>
      <w:r>
        <w:t xml:space="preserve">2.5 Element engine</w:t>
      </w:r>
    </w:p>
    <w:p>
      <w:pPr>
        <w:pStyle w:val="Compact"/>
        <w:numPr>
          <w:ilvl w:val="0"/>
          <w:numId w:val="1010"/>
        </w:numPr>
      </w:pPr>
      <w:r>
        <w:t xml:space="preserve">Adopt the multi-signal element descriptor:</w:t>
      </w:r>
    </w:p>
    <w:p>
      <w:pPr>
        <w:pStyle w:val="Compact"/>
        <w:numPr>
          <w:ilvl w:val="1"/>
          <w:numId w:val="1011"/>
        </w:numPr>
      </w:pPr>
      <w:r>
        <w:t xml:space="preserve">stable attributes;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data-*</w:t>
      </w:r>
      <w:r>
        <w:t xml:space="preserve"> </w:t>
      </w:r>
      <w:r>
        <w:t xml:space="preserve">identifiers;</w:t>
      </w:r>
    </w:p>
    <w:p>
      <w:pPr>
        <w:pStyle w:val="Compact"/>
        <w:numPr>
          <w:ilvl w:val="1"/>
          <w:numId w:val="1011"/>
        </w:numPr>
      </w:pPr>
      <w:r>
        <w:t xml:space="preserve">ARIA and accessible names;</w:t>
      </w:r>
    </w:p>
    <w:p>
      <w:pPr>
        <w:pStyle w:val="Compact"/>
        <w:numPr>
          <w:ilvl w:val="1"/>
          <w:numId w:val="1011"/>
        </w:numPr>
      </w:pPr>
      <w:r>
        <w:t xml:space="preserve">role;</w:t>
      </w:r>
    </w:p>
    <w:p>
      <w:pPr>
        <w:pStyle w:val="Compact"/>
        <w:numPr>
          <w:ilvl w:val="1"/>
          <w:numId w:val="1011"/>
        </w:numPr>
      </w:pPr>
      <w:r>
        <w:t xml:space="preserve">text fingerprint;</w:t>
      </w:r>
    </w:p>
    <w:p>
      <w:pPr>
        <w:pStyle w:val="Compact"/>
        <w:numPr>
          <w:ilvl w:val="1"/>
          <w:numId w:val="1011"/>
        </w:numPr>
      </w:pPr>
      <w:r>
        <w:t xml:space="preserve">class tokens;</w:t>
      </w:r>
    </w:p>
    <w:p>
      <w:pPr>
        <w:pStyle w:val="Compact"/>
        <w:numPr>
          <w:ilvl w:val="1"/>
          <w:numId w:val="1011"/>
        </w:numPr>
      </w:pPr>
      <w:r>
        <w:t xml:space="preserve">parent/sibling structure;</w:t>
      </w:r>
    </w:p>
    <w:p>
      <w:pPr>
        <w:pStyle w:val="Compact"/>
        <w:numPr>
          <w:ilvl w:val="1"/>
          <w:numId w:val="1011"/>
        </w:numPr>
      </w:pPr>
      <w:r>
        <w:t xml:space="preserve">geometry;</w:t>
      </w:r>
    </w:p>
    <w:p>
      <w:pPr>
        <w:pStyle w:val="Compact"/>
        <w:numPr>
          <w:ilvl w:val="1"/>
          <w:numId w:val="1011"/>
        </w:numPr>
      </w:pPr>
      <w:r>
        <w:t xml:space="preserve">nearby labels.</w:t>
      </w:r>
    </w:p>
    <w:p>
      <w:pPr>
        <w:pStyle w:val="Compact"/>
        <w:numPr>
          <w:ilvl w:val="0"/>
          <w:numId w:val="1010"/>
        </w:numPr>
      </w:pPr>
      <w:r>
        <w:t xml:space="preserve">Adopt confidence-scored runtime resolution rather than single CSS selectors.</w:t>
      </w:r>
    </w:p>
    <w:p>
      <w:pPr>
        <w:pStyle w:val="Compact"/>
        <w:numPr>
          <w:ilvl w:val="0"/>
          <w:numId w:val="1010"/>
        </w:numPr>
      </w:pPr>
      <w:r>
        <w:t xml:space="preserve">Add graceful suppression when anchor confidence is too low.</w:t>
      </w:r>
    </w:p>
    <w:p>
      <w:pPr>
        <w:pStyle w:val="Compact"/>
        <w:numPr>
          <w:ilvl w:val="0"/>
          <w:numId w:val="1010"/>
        </w:numPr>
      </w:pPr>
      <w:r>
        <w:t xml:space="preserve">Add MutationObserver and SPA route-change support.</w:t>
      </w:r>
    </w:p>
    <w:p>
      <w:pPr>
        <w:pStyle w:val="Compact"/>
        <w:numPr>
          <w:ilvl w:val="0"/>
          <w:numId w:val="1010"/>
        </w:numPr>
      </w:pPr>
      <w:r>
        <w:t xml:space="preserve">Add same-origin iframe and Shadow DOM support where technically feasible.</w:t>
      </w:r>
    </w:p>
    <w:p>
      <w:pPr>
        <w:pStyle w:val="Compact"/>
        <w:numPr>
          <w:ilvl w:val="0"/>
          <w:numId w:val="1010"/>
        </w:numPr>
      </w:pPr>
      <w:r>
        <w:t xml:space="preserve">Add anchor-health telemetry.</w:t>
      </w:r>
    </w:p>
    <w:p>
      <w:pPr>
        <w:pStyle w:val="Compact"/>
        <w:numPr>
          <w:ilvl w:val="0"/>
          <w:numId w:val="1010"/>
        </w:numPr>
      </w:pPr>
      <w:r>
        <w:t xml:space="preserve">Add one-action re-capture and bulk find/replace.</w:t>
      </w:r>
    </w:p>
    <w:p>
      <w:pPr>
        <w:pStyle w:val="Compact"/>
        <w:numPr>
          <w:ilvl w:val="0"/>
          <w:numId w:val="1010"/>
        </w:numPr>
      </w:pPr>
      <w:r>
        <w:t xml:space="preserve">Add a maintained Element Library as a strategic differentiator, starting with Property MTD first and Microsoft/Dynamics later.</w:t>
      </w:r>
    </w:p>
    <w:p>
      <w:pPr>
        <w:pStyle w:val="Compact"/>
        <w:numPr>
          <w:ilvl w:val="0"/>
          <w:numId w:val="1010"/>
        </w:numPr>
      </w:pPr>
      <w:r>
        <w:t xml:space="preserve">Keep vision/computer-use fallback as a privacy-gated, last-resort recovery mechanism.</w:t>
      </w:r>
    </w:p>
    <w:bookmarkEnd w:id="25"/>
    <w:bookmarkStart w:id="26" w:name="authoring-studio"/>
    <w:p>
      <w:pPr>
        <w:pStyle w:val="Heading3"/>
      </w:pPr>
      <w:r>
        <w:t xml:space="preserve">2.6 Authoring Studio</w:t>
      </w:r>
    </w:p>
    <w:p>
      <w:pPr>
        <w:pStyle w:val="Compact"/>
        <w:numPr>
          <w:ilvl w:val="0"/>
          <w:numId w:val="1012"/>
        </w:numPr>
      </w:pPr>
      <w:r>
        <w:t xml:space="preserve">Keep the no-code in-app editor.</w:t>
      </w:r>
    </w:p>
    <w:p>
      <w:pPr>
        <w:pStyle w:val="Compact"/>
        <w:numPr>
          <w:ilvl w:val="0"/>
          <w:numId w:val="1012"/>
        </w:numPr>
      </w:pPr>
      <w:r>
        <w:t xml:space="preserve">Keep live target-app capture and true-to-runtime preview.</w:t>
      </w:r>
    </w:p>
    <w:p>
      <w:pPr>
        <w:pStyle w:val="Compact"/>
        <w:numPr>
          <w:ilvl w:val="0"/>
          <w:numId w:val="1012"/>
        </w:numPr>
      </w:pPr>
      <w:r>
        <w:t xml:space="preserve">Keep walkthroughs, tooltips, smart tips, launchers, checklists, banners, modals, surveys, and resource centre.</w:t>
      </w:r>
    </w:p>
    <w:p>
      <w:pPr>
        <w:pStyle w:val="Compact"/>
        <w:numPr>
          <w:ilvl w:val="0"/>
          <w:numId w:val="1012"/>
        </w:numPr>
      </w:pPr>
      <w:r>
        <w:t xml:space="preserve">Keep AI-assisted authoring, but require human review and approval before publication.</w:t>
      </w:r>
    </w:p>
    <w:p>
      <w:pPr>
        <w:pStyle w:val="Compact"/>
        <w:numPr>
          <w:ilvl w:val="0"/>
          <w:numId w:val="1012"/>
        </w:numPr>
      </w:pPr>
      <w:r>
        <w:t xml:space="preserve">Keep localisation and theming.</w:t>
      </w:r>
    </w:p>
    <w:p>
      <w:pPr>
        <w:pStyle w:val="Compact"/>
        <w:numPr>
          <w:ilvl w:val="0"/>
          <w:numId w:val="1012"/>
        </w:numPr>
      </w:pPr>
      <w:r>
        <w:t xml:space="preserve">Keep content templates, folders, tags, and search.</w:t>
      </w:r>
    </w:p>
    <w:p>
      <w:pPr>
        <w:pStyle w:val="Compact"/>
        <w:numPr>
          <w:ilvl w:val="0"/>
          <w:numId w:val="1012"/>
        </w:numPr>
      </w:pPr>
      <w:r>
        <w:t xml:space="preserve">Keep governance states: draft, review, approved, published, archived.</w:t>
      </w:r>
    </w:p>
    <w:p>
      <w:pPr>
        <w:pStyle w:val="Compact"/>
        <w:numPr>
          <w:ilvl w:val="0"/>
          <w:numId w:val="1012"/>
        </w:numPr>
      </w:pPr>
      <w:r>
        <w:t xml:space="preserve">Keep versioning and rollback.</w:t>
      </w:r>
    </w:p>
    <w:bookmarkEnd w:id="26"/>
    <w:bookmarkStart w:id="27" w:name="analytics-and-closed-loop"/>
    <w:p>
      <w:pPr>
        <w:pStyle w:val="Heading3"/>
      </w:pPr>
      <w:r>
        <w:t xml:space="preserve">2.7 Analytics and closed loop</w:t>
      </w:r>
    </w:p>
    <w:p>
      <w:pPr>
        <w:pStyle w:val="Compact"/>
        <w:numPr>
          <w:ilvl w:val="0"/>
          <w:numId w:val="1013"/>
        </w:numPr>
      </w:pPr>
      <w:r>
        <w:t xml:space="preserve">Adopt autocapture, but structure-only by default.</w:t>
      </w:r>
    </w:p>
    <w:p>
      <w:pPr>
        <w:pStyle w:val="Compact"/>
        <w:numPr>
          <w:ilvl w:val="0"/>
          <w:numId w:val="1013"/>
        </w:numPr>
      </w:pPr>
      <w:r>
        <w:t xml:space="preserve">Adopt retroactive tagging where possible.</w:t>
      </w:r>
    </w:p>
    <w:p>
      <w:pPr>
        <w:pStyle w:val="Compact"/>
        <w:numPr>
          <w:ilvl w:val="0"/>
          <w:numId w:val="1013"/>
        </w:numPr>
      </w:pPr>
      <w:r>
        <w:t xml:space="preserve">Adopt funnels, paths, retention, cohorts, and guide-performance analytics.</w:t>
      </w:r>
    </w:p>
    <w:p>
      <w:pPr>
        <w:pStyle w:val="Compact"/>
        <w:numPr>
          <w:ilvl w:val="0"/>
          <w:numId w:val="1013"/>
        </w:numPr>
      </w:pPr>
      <w:r>
        <w:t xml:space="preserve">Adopt cohort-to-segment workflow.</w:t>
      </w:r>
    </w:p>
    <w:p>
      <w:pPr>
        <w:pStyle w:val="Compact"/>
        <w:numPr>
          <w:ilvl w:val="0"/>
          <w:numId w:val="1013"/>
        </w:numPr>
      </w:pPr>
      <w:r>
        <w:t xml:space="preserve">Adopt friction detection: rage clicks, repeated validation errors, dead ends, high drop-off, and repeated backtracking.</w:t>
      </w:r>
    </w:p>
    <w:p>
      <w:pPr>
        <w:pStyle w:val="Compact"/>
        <w:numPr>
          <w:ilvl w:val="0"/>
          <w:numId w:val="1013"/>
        </w:numPr>
      </w:pPr>
      <w:r>
        <w:t xml:space="preserve">Adopt guide-to-outcome conversion metrics.</w:t>
      </w:r>
    </w:p>
    <w:p>
      <w:pPr>
        <w:pStyle w:val="Compact"/>
        <w:numPr>
          <w:ilvl w:val="0"/>
          <w:numId w:val="1013"/>
        </w:numPr>
      </w:pPr>
      <w:r>
        <w:t xml:space="preserve">Adopt data export to warehouse/object storage.</w:t>
      </w:r>
    </w:p>
    <w:p>
      <w:pPr>
        <w:pStyle w:val="Compact"/>
        <w:numPr>
          <w:ilvl w:val="0"/>
          <w:numId w:val="1013"/>
        </w:numPr>
      </w:pPr>
      <w:r>
        <w:t xml:space="preserve">Adopt an insights agent for natural-language analytics, with transparent generated queries.</w:t>
      </w:r>
    </w:p>
    <w:bookmarkEnd w:id="27"/>
    <w:bookmarkStart w:id="28" w:name="ai-and-rag"/>
    <w:p>
      <w:pPr>
        <w:pStyle w:val="Heading3"/>
      </w:pPr>
      <w:r>
        <w:t xml:space="preserve">2.8 AI and RAG</w:t>
      </w:r>
    </w:p>
    <w:p>
      <w:pPr>
        <w:pStyle w:val="Compact"/>
        <w:numPr>
          <w:ilvl w:val="0"/>
          <w:numId w:val="1014"/>
        </w:numPr>
      </w:pPr>
      <w:r>
        <w:t xml:space="preserve">Adopt RAG-grounded answer agent with citations.</w:t>
      </w:r>
    </w:p>
    <w:p>
      <w:pPr>
        <w:pStyle w:val="Compact"/>
        <w:numPr>
          <w:ilvl w:val="0"/>
          <w:numId w:val="1014"/>
        </w:numPr>
      </w:pPr>
      <w:r>
        <w:t xml:space="preserve">Adopt AI co-author for draft guidance.</w:t>
      </w:r>
    </w:p>
    <w:p>
      <w:pPr>
        <w:pStyle w:val="Compact"/>
        <w:numPr>
          <w:ilvl w:val="0"/>
          <w:numId w:val="1014"/>
        </w:numPr>
      </w:pPr>
      <w:r>
        <w:t xml:space="preserve">Adopt AI insights agent.</w:t>
      </w:r>
    </w:p>
    <w:p>
      <w:pPr>
        <w:pStyle w:val="Compact"/>
        <w:numPr>
          <w:ilvl w:val="0"/>
          <w:numId w:val="1014"/>
        </w:numPr>
      </w:pPr>
      <w:r>
        <w:t xml:space="preserve">Adopt strict AI guardrails:</w:t>
      </w:r>
    </w:p>
    <w:p>
      <w:pPr>
        <w:pStyle w:val="Compact"/>
        <w:numPr>
          <w:ilvl w:val="1"/>
          <w:numId w:val="1015"/>
        </w:numPr>
      </w:pPr>
      <w:r>
        <w:t xml:space="preserve">no unsupported tax advice;</w:t>
      </w:r>
    </w:p>
    <w:p>
      <w:pPr>
        <w:pStyle w:val="Compact"/>
        <w:numPr>
          <w:ilvl w:val="1"/>
          <w:numId w:val="1015"/>
        </w:numPr>
      </w:pPr>
      <w:r>
        <w:t xml:space="preserve">no hallucinated answers;</w:t>
      </w:r>
    </w:p>
    <w:p>
      <w:pPr>
        <w:pStyle w:val="Compact"/>
        <w:numPr>
          <w:ilvl w:val="1"/>
          <w:numId w:val="1015"/>
        </w:numPr>
      </w:pPr>
      <w:r>
        <w:t xml:space="preserve">no cross-tenant retrieval;</w:t>
      </w:r>
    </w:p>
    <w:p>
      <w:pPr>
        <w:pStyle w:val="Compact"/>
        <w:numPr>
          <w:ilvl w:val="1"/>
          <w:numId w:val="1015"/>
        </w:numPr>
      </w:pPr>
      <w:r>
        <w:t xml:space="preserve">no sensitive screen values by default;</w:t>
      </w:r>
    </w:p>
    <w:p>
      <w:pPr>
        <w:pStyle w:val="Compact"/>
        <w:numPr>
          <w:ilvl w:val="1"/>
          <w:numId w:val="1015"/>
        </w:numPr>
      </w:pPr>
      <w:r>
        <w:t xml:space="preserve">prompt-injection defences;</w:t>
      </w:r>
    </w:p>
    <w:p>
      <w:pPr>
        <w:pStyle w:val="Compact"/>
        <w:numPr>
          <w:ilvl w:val="1"/>
          <w:numId w:val="1015"/>
        </w:numPr>
      </w:pPr>
      <w:r>
        <w:t xml:space="preserve">source citations;</w:t>
      </w:r>
    </w:p>
    <w:p>
      <w:pPr>
        <w:pStyle w:val="Compact"/>
        <w:numPr>
          <w:ilvl w:val="1"/>
          <w:numId w:val="1015"/>
        </w:numPr>
      </w:pPr>
      <w:r>
        <w:t xml:space="preserve">human escalation.</w:t>
      </w:r>
    </w:p>
    <w:p>
      <w:pPr>
        <w:pStyle w:val="Compact"/>
        <w:numPr>
          <w:ilvl w:val="0"/>
          <w:numId w:val="1014"/>
        </w:numPr>
      </w:pPr>
      <w:r>
        <w:t xml:space="preserve">Add model-provider abstraction so the platform can use Azure OpenAI/OpenAI first while allowing other models later.</w:t>
      </w:r>
    </w:p>
    <w:p>
      <w:pPr>
        <w:pStyle w:val="Compact"/>
        <w:numPr>
          <w:ilvl w:val="0"/>
          <w:numId w:val="1014"/>
        </w:numPr>
      </w:pPr>
      <w:r>
        <w:t xml:space="preserve">Keep MCP-style interface as a future integration pattern, but initially position it as a secure internal/Codex automation interface.</w:t>
      </w:r>
    </w:p>
    <w:bookmarkEnd w:id="28"/>
    <w:bookmarkStart w:id="29" w:name="wireframes-and-ux"/>
    <w:p>
      <w:pPr>
        <w:pStyle w:val="Heading3"/>
      </w:pPr>
      <w:r>
        <w:t xml:space="preserve">2.9 Wireframes and UX</w:t>
      </w:r>
    </w:p>
    <w:p>
      <w:pPr>
        <w:pStyle w:val="Compact"/>
        <w:numPr>
          <w:ilvl w:val="0"/>
          <w:numId w:val="1016"/>
        </w:numPr>
      </w:pPr>
      <w:r>
        <w:t xml:space="preserve">Keep the Admin Studio global shell.</w:t>
      </w:r>
    </w:p>
    <w:p>
      <w:pPr>
        <w:pStyle w:val="Compact"/>
        <w:numPr>
          <w:ilvl w:val="0"/>
          <w:numId w:val="1016"/>
        </w:numPr>
      </w:pPr>
      <w:r>
        <w:t xml:space="preserve">Keep tenant onboarding and identity setup wireframes.</w:t>
      </w:r>
    </w:p>
    <w:p>
      <w:pPr>
        <w:pStyle w:val="Compact"/>
        <w:numPr>
          <w:ilvl w:val="0"/>
          <w:numId w:val="1016"/>
        </w:numPr>
      </w:pPr>
      <w:r>
        <w:t xml:space="preserve">Keep content library wireframe.</w:t>
      </w:r>
    </w:p>
    <w:p>
      <w:pPr>
        <w:pStyle w:val="Compact"/>
        <w:numPr>
          <w:ilvl w:val="0"/>
          <w:numId w:val="1016"/>
        </w:numPr>
      </w:pPr>
      <w:r>
        <w:t xml:space="preserve">Keep in-app editor wireframe; this is one of the signature product experiences.</w:t>
      </w:r>
    </w:p>
    <w:p>
      <w:pPr>
        <w:pStyle w:val="Compact"/>
        <w:numPr>
          <w:ilvl w:val="0"/>
          <w:numId w:val="1016"/>
        </w:numPr>
      </w:pPr>
      <w:r>
        <w:t xml:space="preserve">Keep segment builder wireframe.</w:t>
      </w:r>
    </w:p>
    <w:p>
      <w:pPr>
        <w:pStyle w:val="Compact"/>
        <w:numPr>
          <w:ilvl w:val="0"/>
          <w:numId w:val="1016"/>
        </w:numPr>
      </w:pPr>
      <w:r>
        <w:t xml:space="preserve">Keep analytics funnel and insights-agent wireframes.</w:t>
      </w:r>
    </w:p>
    <w:p>
      <w:pPr>
        <w:pStyle w:val="Compact"/>
        <w:numPr>
          <w:ilvl w:val="0"/>
          <w:numId w:val="1016"/>
        </w:numPr>
      </w:pPr>
      <w:r>
        <w:t xml:space="preserve">Keep governance review wireframe.</w:t>
      </w:r>
    </w:p>
    <w:p>
      <w:pPr>
        <w:pStyle w:val="Compact"/>
        <w:numPr>
          <w:ilvl w:val="0"/>
          <w:numId w:val="1016"/>
        </w:numPr>
      </w:pPr>
      <w:r>
        <w:t xml:space="preserve">Keep runtime self-help widget, answer agent, walkthrough step, checklist, and survey wireframes.</w:t>
      </w:r>
    </w:p>
    <w:p>
      <w:pPr>
        <w:pStyle w:val="Compact"/>
        <w:numPr>
          <w:ilvl w:val="0"/>
          <w:numId w:val="1016"/>
        </w:numPr>
      </w:pPr>
      <w:r>
        <w:t xml:space="preserve">Add dedicated Property MTD runtime examples:</w:t>
      </w:r>
    </w:p>
    <w:p>
      <w:pPr>
        <w:pStyle w:val="Compact"/>
        <w:numPr>
          <w:ilvl w:val="1"/>
          <w:numId w:val="1017"/>
        </w:numPr>
      </w:pPr>
      <w:r>
        <w:t xml:space="preserve">HMRC authorisation guidance;</w:t>
      </w:r>
    </w:p>
    <w:p>
      <w:pPr>
        <w:pStyle w:val="Compact"/>
        <w:numPr>
          <w:ilvl w:val="1"/>
          <w:numId w:val="1017"/>
        </w:numPr>
      </w:pPr>
      <w:r>
        <w:t xml:space="preserve">property setup checklist;</w:t>
      </w:r>
    </w:p>
    <w:p>
      <w:pPr>
        <w:pStyle w:val="Compact"/>
        <w:numPr>
          <w:ilvl w:val="1"/>
          <w:numId w:val="1017"/>
        </w:numPr>
      </w:pPr>
      <w:r>
        <w:t xml:space="preserve">income/expense categorisation tips;</w:t>
      </w:r>
    </w:p>
    <w:p>
      <w:pPr>
        <w:pStyle w:val="Compact"/>
        <w:numPr>
          <w:ilvl w:val="1"/>
          <w:numId w:val="1017"/>
        </w:numPr>
      </w:pPr>
      <w:r>
        <w:t xml:space="preserve">quarterly update walkthrough;</w:t>
      </w:r>
    </w:p>
    <w:p>
      <w:pPr>
        <w:pStyle w:val="Compact"/>
        <w:numPr>
          <w:ilvl w:val="1"/>
          <w:numId w:val="1017"/>
        </w:numPr>
      </w:pPr>
      <w:r>
        <w:t xml:space="preserve">agent/client readiness dashboard guidance.</w:t>
      </w:r>
    </w:p>
    <w:bookmarkEnd w:id="29"/>
    <w:bookmarkStart w:id="30" w:name="build-process"/>
    <w:p>
      <w:pPr>
        <w:pStyle w:val="Heading3"/>
      </w:pPr>
      <w:r>
        <w:t xml:space="preserve">2.10 Build process</w:t>
      </w:r>
    </w:p>
    <w:p>
      <w:pPr>
        <w:pStyle w:val="Compact"/>
        <w:numPr>
          <w:ilvl w:val="0"/>
          <w:numId w:val="1018"/>
        </w:numPr>
      </w:pPr>
      <w:r>
        <w:t xml:space="preserve">Keep traceability from user stories to functional requirements to tests.</w:t>
      </w:r>
    </w:p>
    <w:p>
      <w:pPr>
        <w:pStyle w:val="Compact"/>
        <w:numPr>
          <w:ilvl w:val="0"/>
          <w:numId w:val="1018"/>
        </w:numPr>
      </w:pPr>
      <w:r>
        <w:t xml:space="preserve">Keep production definition of done.</w:t>
      </w:r>
    </w:p>
    <w:p>
      <w:pPr>
        <w:pStyle w:val="Compact"/>
        <w:numPr>
          <w:ilvl w:val="0"/>
          <w:numId w:val="1018"/>
        </w:numPr>
      </w:pPr>
      <w:r>
        <w:t xml:space="preserve">Keep small PRs with GitHub CI gates.</w:t>
      </w:r>
    </w:p>
    <w:p>
      <w:pPr>
        <w:pStyle w:val="Compact"/>
        <w:numPr>
          <w:ilvl w:val="0"/>
          <w:numId w:val="1018"/>
        </w:numPr>
      </w:pPr>
      <w:r>
        <w:t xml:space="preserve">Keep code/spec lockstep.</w:t>
      </w:r>
    </w:p>
    <w:p>
      <w:pPr>
        <w:pStyle w:val="Compact"/>
        <w:numPr>
          <w:ilvl w:val="0"/>
          <w:numId w:val="1018"/>
        </w:numPr>
      </w:pPr>
      <w:r>
        <w:t xml:space="preserve">Keep explicit acceptance criteria for every sprint.</w:t>
      </w:r>
    </w:p>
    <w:p>
      <w:pPr>
        <w:pStyle w:val="Compact"/>
        <w:numPr>
          <w:ilvl w:val="0"/>
          <w:numId w:val="1018"/>
        </w:numPr>
      </w:pPr>
      <w:r>
        <w:t xml:space="preserve">Convert the build prompt from Claude Code to Codex + Visual Studio.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items-i-would-reject-amend-or-defer"/>
    <w:p>
      <w:pPr>
        <w:pStyle w:val="Heading2"/>
      </w:pPr>
      <w:r>
        <w:t xml:space="preserve">3. Items I would reject, amend, or defer</w:t>
      </w:r>
    </w:p>
    <w:bookmarkStart w:id="32" w:name="reject-or-amend"/>
    <w:p>
      <w:pPr>
        <w:pStyle w:val="Heading3"/>
      </w:pPr>
      <w:r>
        <w:t xml:space="preserve">3.1 Reject or amend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Absolute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zero-code on target app</w:t>
      </w:r>
      <w:r>
        <w:rPr>
          <w:b/>
          <w:bCs/>
        </w:rPr>
        <w:t xml:space="preserve">”</w:t>
      </w:r>
      <w:r>
        <w:t xml:space="preserve"> </w:t>
      </w:r>
      <w:r>
        <w:t xml:space="preserve">should be amended. For Property MTD and our own future apps, use a first-party SDK and stable</w:t>
      </w:r>
      <w:r>
        <w:t xml:space="preserve"> </w:t>
      </w:r>
      <w:r>
        <w:rPr>
          <w:rStyle w:val="VerbatimChar"/>
        </w:rPr>
        <w:t xml:space="preserve">data-adopt-id</w:t>
      </w:r>
      <w:r>
        <w:t xml:space="preserve"> </w:t>
      </w:r>
      <w:r>
        <w:t xml:space="preserve">anchors. Zero-code/browser-extension mode should be for third-party apps where we cannot change source.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Claude Code as the delivery tool</w:t>
      </w:r>
      <w:r>
        <w:t xml:space="preserve"> </w:t>
      </w:r>
      <w:r>
        <w:t xml:space="preserve">should be replaced by Codex + Visual Studio + GitHub.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TypeScript-first/NestJS-first as the default backend</w:t>
      </w:r>
      <w:r>
        <w:t xml:space="preserve"> </w:t>
      </w:r>
      <w:r>
        <w:t xml:space="preserve">should be amended. For this project, make the SaaS control plane .NET-first because Property MTD is already .NET/Blazor/EF-oriented and you want Visual Studio delivery. Keep TypeScript where it is clearly the right tool: runtime SDK, browser extension, and possibly small front-end packages.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Six phases / Phase 0–5 plan</w:t>
      </w:r>
      <w:r>
        <w:t xml:space="preserve"> </w:t>
      </w:r>
      <w:r>
        <w:t xml:space="preserve">should be collapsed into five production sprints to match the stated maximum.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provider hardcoding</w:t>
      </w:r>
      <w:r>
        <w:t xml:space="preserve"> </w:t>
      </w:r>
      <w:r>
        <w:t xml:space="preserve">should be amended. Do not hardwire Claude as primary. Use a model-provider abstraction, with Azure OpenAI/OpenAI as the default path for Codex/OpenAI alignment and Azure governance.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Market-size figures sourced via vendor reporting</w:t>
      </w:r>
      <w:r>
        <w:t xml:space="preserve"> </w:t>
      </w:r>
      <w:r>
        <w:t xml:space="preserve">should remain internal/directional unless independently verified before external sales or investor material.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Full form interaction autocapture</w:t>
      </w:r>
      <w:r>
        <w:t xml:space="preserve"> </w:t>
      </w:r>
      <w:r>
        <w:t xml:space="preserve">should be heavily constrained. For Property MTD, capture structural behaviour only by default; do not collect tax values, addresses, bank values, UTRs, NI numbers, HMRC tokens, or client identifiers.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MCP as a public customer feature from day one</w:t>
      </w:r>
      <w:r>
        <w:t xml:space="preserve"> </w:t>
      </w:r>
      <w:r>
        <w:t xml:space="preserve">should be amended. Build the seam, then expose it only after RBAC, audit, rate limits, and tenant boundaries are mature.</w:t>
      </w:r>
    </w:p>
    <w:bookmarkEnd w:id="32"/>
    <w:bookmarkStart w:id="33" w:name="Xa4ee96e99d69c0d26af03d756c01f869afdc4df"/>
    <w:p>
      <w:pPr>
        <w:pStyle w:val="Heading3"/>
      </w:pPr>
      <w:r>
        <w:t xml:space="preserve">3.2 Defer to later roadmap unless explicitly required</w:t>
      </w:r>
    </w:p>
    <w:p>
      <w:pPr>
        <w:pStyle w:val="Compact"/>
        <w:numPr>
          <w:ilvl w:val="0"/>
          <w:numId w:val="1020"/>
        </w:numPr>
      </w:pPr>
      <w:r>
        <w:t xml:space="preserve">Native mobile SDK.</w:t>
      </w:r>
    </w:p>
    <w:p>
      <w:pPr>
        <w:pStyle w:val="Compact"/>
        <w:numPr>
          <w:ilvl w:val="0"/>
          <w:numId w:val="1020"/>
        </w:numPr>
      </w:pPr>
      <w:r>
        <w:t xml:space="preserve">Citrix/VDI/desktop guidance.</w:t>
      </w:r>
    </w:p>
    <w:p>
      <w:pPr>
        <w:pStyle w:val="Compact"/>
        <w:numPr>
          <w:ilvl w:val="0"/>
          <w:numId w:val="1020"/>
        </w:numPr>
      </w:pPr>
      <w:r>
        <w:t xml:space="preserve">Session replay.</w:t>
      </w:r>
    </w:p>
    <w:p>
      <w:pPr>
        <w:pStyle w:val="Compact"/>
        <w:numPr>
          <w:ilvl w:val="0"/>
          <w:numId w:val="1020"/>
        </w:numPr>
      </w:pPr>
      <w:r>
        <w:t xml:space="preserve">Whatfix Mirror-style simulation/sandbox training.</w:t>
      </w:r>
    </w:p>
    <w:p>
      <w:pPr>
        <w:pStyle w:val="Compact"/>
        <w:numPr>
          <w:ilvl w:val="0"/>
          <w:numId w:val="1020"/>
        </w:numPr>
      </w:pPr>
      <w:r>
        <w:t xml:space="preserve">Full cross-app AI-agent orchestration.</w:t>
      </w:r>
    </w:p>
    <w:p>
      <w:pPr>
        <w:pStyle w:val="Compact"/>
        <w:numPr>
          <w:ilvl w:val="0"/>
          <w:numId w:val="1020"/>
        </w:numPr>
      </w:pPr>
      <w:r>
        <w:t xml:space="preserve">Full enterprise connector marketplace.</w:t>
      </w:r>
    </w:p>
    <w:p>
      <w:pPr>
        <w:pStyle w:val="Compact"/>
        <w:numPr>
          <w:ilvl w:val="0"/>
          <w:numId w:val="1020"/>
        </w:numPr>
      </w:pPr>
      <w:r>
        <w:t xml:space="preserve">Tenant-managed storage for every tenant.</w:t>
      </w:r>
    </w:p>
    <w:p>
      <w:pPr>
        <w:pStyle w:val="Compact"/>
        <w:numPr>
          <w:ilvl w:val="0"/>
          <w:numId w:val="1020"/>
        </w:numPr>
      </w:pPr>
      <w:r>
        <w:t xml:space="preserve">Maintained element libraries for many third-party apps. Start with Property MTD and Microsoft/Dynamics; expand gradually.</w:t>
      </w:r>
    </w:p>
    <w:p>
      <w:pPr>
        <w:pStyle w:val="Compact"/>
        <w:numPr>
          <w:ilvl w:val="0"/>
          <w:numId w:val="1020"/>
        </w:numPr>
      </w:pPr>
      <w:r>
        <w:t xml:space="preserve">Browser extension as the primary Property MTD delivery mechanism.</w:t>
      </w:r>
    </w:p>
    <w:p>
      <w:pPr>
        <w:pStyle w:val="Compact"/>
        <w:numPr>
          <w:ilvl w:val="0"/>
          <w:numId w:val="1020"/>
        </w:numPr>
      </w:pPr>
      <w:r>
        <w:t xml:space="preserve">Vision/computer-use fallback as a default runtime path. Keep it gated, opt-in, expensive-path only.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8817e34dc1668c443352788a3be7df1e7fabead"/>
    <w:p>
      <w:pPr>
        <w:pStyle w:val="Heading2"/>
      </w:pPr>
      <w:r>
        <w:t xml:space="preserve">4. Updated specification decisions by document</w:t>
      </w:r>
    </w:p>
    <w:bookmarkStart w:id="35" w:name="X81e1f2de4358ce0b66be13e45e38c30ac974658"/>
    <w:p>
      <w:pPr>
        <w:pStyle w:val="Heading3"/>
      </w:pPr>
      <w:r>
        <w:t xml:space="preserve">4.1 Update</w:t>
      </w:r>
      <w:r>
        <w:t xml:space="preserve"> </w:t>
      </w:r>
      <w:r>
        <w:rPr>
          <w:rStyle w:val="VerbatimChar"/>
        </w:rPr>
        <w:t xml:space="preserve">00-product-vision-and-competitive-analysis.md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21"/>
        </w:numPr>
      </w:pPr>
      <w:r>
        <w:t xml:space="preserve">Product mode distinction: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First-party mode</w:t>
      </w:r>
      <w:r>
        <w:t xml:space="preserve"> </w:t>
      </w:r>
      <w:r>
        <w:t xml:space="preserve">for Property MTD and owned apps: SDK + stable anchors + domain events.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Third-party mode</w:t>
      </w:r>
      <w:r>
        <w:t xml:space="preserve"> </w:t>
      </w:r>
      <w:r>
        <w:t xml:space="preserve">for external SaaS apps: browser extension + resilient selector graph.</w:t>
      </w:r>
    </w:p>
    <w:p>
      <w:pPr>
        <w:pStyle w:val="Compact"/>
        <w:numPr>
          <w:ilvl w:val="0"/>
          <w:numId w:val="1021"/>
        </w:numPr>
      </w:pPr>
      <w:r>
        <w:t xml:space="preserve">Strategic wedge:</w:t>
      </w:r>
    </w:p>
    <w:p>
      <w:pPr>
        <w:pStyle w:val="Compact"/>
        <w:numPr>
          <w:ilvl w:val="1"/>
          <w:numId w:val="1023"/>
        </w:numPr>
      </w:pPr>
      <w:r>
        <w:t xml:space="preserve">“</w:t>
      </w:r>
      <w:r>
        <w:t xml:space="preserve">Best Microsoft-secured DAP for regulated SaaS and MTD-style compliance workflows.</w:t>
      </w:r>
      <w:r>
        <w:t xml:space="preserve">”</w:t>
      </w:r>
    </w:p>
    <w:p>
      <w:pPr>
        <w:pStyle w:val="Compact"/>
        <w:numPr>
          <w:ilvl w:val="0"/>
          <w:numId w:val="1021"/>
        </w:numPr>
      </w:pPr>
      <w:r>
        <w:t xml:space="preserve">Property MTD as the first reference implementation.</w:t>
      </w:r>
    </w:p>
    <w:p>
      <w:pPr>
        <w:pStyle w:val="Compact"/>
        <w:numPr>
          <w:ilvl w:val="0"/>
          <w:numId w:val="1021"/>
        </w:numPr>
      </w:pPr>
      <w:r>
        <w:t xml:space="preserve">Codex + Visual Studio as the build workflow instead of Claude Code.</w:t>
      </w:r>
    </w:p>
    <w:p>
      <w:pPr>
        <w:pStyle w:val="Compact"/>
        <w:numPr>
          <w:ilvl w:val="0"/>
          <w:numId w:val="1021"/>
        </w:numPr>
      </w:pPr>
      <w:r>
        <w:t xml:space="preserve">Maximum five production sprints.</w:t>
      </w:r>
    </w:p>
    <w:p>
      <w:pPr>
        <w:pStyle w:val="FirstParagraph"/>
      </w:pPr>
      <w:r>
        <w:t xml:space="preserve">Amend:</w:t>
      </w:r>
    </w:p>
    <w:p>
      <w:pPr>
        <w:pStyle w:val="Compact"/>
        <w:numPr>
          <w:ilvl w:val="0"/>
          <w:numId w:val="1024"/>
        </w:numPr>
      </w:pPr>
      <w:r>
        <w:t xml:space="preserve">“</w:t>
      </w:r>
      <w:r>
        <w:t xml:space="preserve">Zero-code on the target app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zero-code where required, first-party SDK where we own the app.</w:t>
      </w:r>
      <w:r>
        <w:t xml:space="preserve">”</w:t>
      </w:r>
    </w:p>
    <w:p>
      <w:pPr>
        <w:pStyle w:val="Compact"/>
        <w:numPr>
          <w:ilvl w:val="0"/>
          <w:numId w:val="1024"/>
        </w:numPr>
      </w:pPr>
      <w:r>
        <w:t xml:space="preserve">Competitor/market statistics should be marked as internal benchmark material unless independently verified before public use.</w:t>
      </w:r>
    </w:p>
    <w:bookmarkEnd w:id="35"/>
    <w:bookmarkStart w:id="36" w:name="update-01-user-requirements.md"/>
    <w:p>
      <w:pPr>
        <w:pStyle w:val="Heading3"/>
      </w:pPr>
      <w:r>
        <w:t xml:space="preserve">4.2 Update</w:t>
      </w:r>
      <w:r>
        <w:t xml:space="preserve"> </w:t>
      </w:r>
      <w:r>
        <w:rPr>
          <w:rStyle w:val="VerbatimChar"/>
        </w:rPr>
        <w:t xml:space="preserve">01-user-requirements.md</w:t>
      </w:r>
    </w:p>
    <w:p>
      <w:pPr>
        <w:pStyle w:val="FirstParagraph"/>
      </w:pPr>
      <w:r>
        <w:t xml:space="preserve">Add personas: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Property MTD Product Owner</w:t>
      </w:r>
      <w:r>
        <w:t xml:space="preserve"> </w:t>
      </w:r>
      <w:r>
        <w:t xml:space="preserve">— owns adoption outcomes across HMRC authorisation, property setup, records, and submissions.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Landlord End User</w:t>
      </w:r>
      <w:r>
        <w:t xml:space="preserve"> </w:t>
      </w:r>
      <w:r>
        <w:t xml:space="preserve">— needs in-flow help with MTD setup and quarterly updates.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Agent/Accountant User</w:t>
      </w:r>
      <w:r>
        <w:t xml:space="preserve"> </w:t>
      </w:r>
      <w:r>
        <w:t xml:space="preserve">— manages multiple clients and needs readiness, exception, and deadline guidance.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Support Agent</w:t>
      </w:r>
      <w:r>
        <w:t xml:space="preserve"> </w:t>
      </w:r>
      <w:r>
        <w:t xml:space="preserve">— needs adoption history and failed-help-search context to resolve tickets faster.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Compliance Reviewer</w:t>
      </w:r>
      <w:r>
        <w:t xml:space="preserve"> </w:t>
      </w:r>
      <w:r>
        <w:t xml:space="preserve">— reviews tax-sensitive guidance before publication.</w:t>
      </w:r>
    </w:p>
    <w:p>
      <w:pPr>
        <w:pStyle w:val="FirstParagraph"/>
      </w:pPr>
      <w:r>
        <w:t xml:space="preserve">Add journeys:</w:t>
      </w:r>
    </w:p>
    <w:p>
      <w:pPr>
        <w:pStyle w:val="Compact"/>
        <w:numPr>
          <w:ilvl w:val="0"/>
          <w:numId w:val="1026"/>
        </w:numPr>
      </w:pPr>
      <w:r>
        <w:t xml:space="preserve">Property MTD setup journey.</w:t>
      </w:r>
    </w:p>
    <w:p>
      <w:pPr>
        <w:pStyle w:val="Compact"/>
        <w:numPr>
          <w:ilvl w:val="0"/>
          <w:numId w:val="1026"/>
        </w:numPr>
      </w:pPr>
      <w:r>
        <w:t xml:space="preserve">HMRC authorisation journey.</w:t>
      </w:r>
    </w:p>
    <w:p>
      <w:pPr>
        <w:pStyle w:val="Compact"/>
        <w:numPr>
          <w:ilvl w:val="0"/>
          <w:numId w:val="1026"/>
        </w:numPr>
      </w:pPr>
      <w:r>
        <w:t xml:space="preserve">Digital records journey.</w:t>
      </w:r>
    </w:p>
    <w:p>
      <w:pPr>
        <w:pStyle w:val="Compact"/>
        <w:numPr>
          <w:ilvl w:val="0"/>
          <w:numId w:val="1026"/>
        </w:numPr>
      </w:pPr>
      <w:r>
        <w:t xml:space="preserve">Quarterly update journey.</w:t>
      </w:r>
    </w:p>
    <w:p>
      <w:pPr>
        <w:pStyle w:val="Compact"/>
        <w:numPr>
          <w:ilvl w:val="0"/>
          <w:numId w:val="1026"/>
        </w:numPr>
      </w:pPr>
      <w:r>
        <w:t xml:space="preserve">Agent/client readiness journey.</w:t>
      </w:r>
    </w:p>
    <w:p>
      <w:pPr>
        <w:pStyle w:val="Compact"/>
        <w:numPr>
          <w:ilvl w:val="0"/>
          <w:numId w:val="1026"/>
        </w:numPr>
      </w:pPr>
      <w:r>
        <w:t xml:space="preserve">Error recovery journey.</w:t>
      </w:r>
    </w:p>
    <w:bookmarkEnd w:id="36"/>
    <w:bookmarkStart w:id="37" w:name="update-02-functional-requirements.md"/>
    <w:p>
      <w:pPr>
        <w:pStyle w:val="Heading3"/>
      </w:pPr>
      <w:r>
        <w:t xml:space="preserve">4.3 Update</w:t>
      </w:r>
      <w:r>
        <w:t xml:space="preserve"> </w:t>
      </w:r>
      <w:r>
        <w:rPr>
          <w:rStyle w:val="VerbatimChar"/>
        </w:rPr>
        <w:t xml:space="preserve">02-functional-requirements.md</w:t>
      </w:r>
    </w:p>
    <w:p>
      <w:pPr>
        <w:pStyle w:val="FirstParagraph"/>
      </w:pPr>
      <w:r>
        <w:t xml:space="preserve">Add requirements: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FR-MTD-001</w:t>
      </w:r>
      <w:r>
        <w:t xml:space="preserve">: The Property MTD app shall initialise the adoption runtime in the Blazor/Web app shell.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FR-MTD-002</w:t>
      </w:r>
      <w:r>
        <w:t xml:space="preserve">: The Property MTD backend shall expose a safe</w:t>
      </w:r>
      <w:r>
        <w:t xml:space="preserve"> </w:t>
      </w:r>
      <w:r>
        <w:rPr>
          <w:rStyle w:val="VerbatimChar"/>
        </w:rPr>
        <w:t xml:space="preserve">/api/adoption/context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FR-MTD-003</w:t>
      </w:r>
      <w:r>
        <w:t xml:space="preserve">: The Property MTD UI shall include stable</w:t>
      </w:r>
      <w:r>
        <w:t xml:space="preserve"> </w:t>
      </w:r>
      <w:r>
        <w:rPr>
          <w:rStyle w:val="VerbatimChar"/>
        </w:rPr>
        <w:t xml:space="preserve">data-adopt-id</w:t>
      </w:r>
      <w:r>
        <w:t xml:space="preserve"> </w:t>
      </w:r>
      <w:r>
        <w:t xml:space="preserve">anchors on guided controls.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FR-MTD-004</w:t>
      </w:r>
      <w:r>
        <w:t xml:space="preserve">: The Property MTD backend shall emit adoption-safe domain events for workflow status changes.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FR-MTD-005</w:t>
      </w:r>
      <w:r>
        <w:t xml:space="preserve">: The adoption platform shall not store or transmit HMRC tokens, submission payloads, UTRs, NI numbers, property addresses, bank values, or tax values by default.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FR-MTD-006</w:t>
      </w:r>
      <w:r>
        <w:t xml:space="preserve">: Tax-sensitive content shall require compliance approval before production publication.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FR-MTD-007</w:t>
      </w:r>
      <w:r>
        <w:t xml:space="preserve">: Property MTD guide content shall include HMRC authorisation, property setup, digital records, transaction categorisation, quarterly review, submission history, and agent/client readiness.</w:t>
      </w:r>
    </w:p>
    <w:p>
      <w:pPr>
        <w:pStyle w:val="FirstParagraph"/>
      </w:pPr>
      <w:r>
        <w:t xml:space="preserve">Amend:</w:t>
      </w:r>
    </w:p>
    <w:p>
      <w:pPr>
        <w:pStyle w:val="Compact"/>
        <w:numPr>
          <w:ilvl w:val="0"/>
          <w:numId w:val="1028"/>
        </w:numPr>
      </w:pPr>
      <w:r>
        <w:t xml:space="preserve">Browser extension should be</w:t>
      </w:r>
      <w:r>
        <w:t xml:space="preserve"> </w:t>
      </w:r>
      <w:r>
        <w:rPr>
          <w:b/>
          <w:bCs/>
        </w:rPr>
        <w:t xml:space="preserve">Should</w:t>
      </w:r>
      <w:r>
        <w:t xml:space="preserve"> </w:t>
      </w:r>
      <w:r>
        <w:t xml:space="preserve">for third-party app coverage, not the first Property MTD route.</w:t>
      </w:r>
    </w:p>
    <w:p>
      <w:pPr>
        <w:pStyle w:val="Compact"/>
        <w:numPr>
          <w:ilvl w:val="0"/>
          <w:numId w:val="1028"/>
        </w:numPr>
      </w:pPr>
      <w:r>
        <w:t xml:space="preserve">AI vision fallback should be</w:t>
      </w:r>
      <w:r>
        <w:t xml:space="preserve"> </w:t>
      </w:r>
      <w:r>
        <w:rPr>
          <w:b/>
          <w:bCs/>
        </w:rPr>
        <w:t xml:space="preserve">Should/Controlled</w:t>
      </w:r>
      <w:r>
        <w:t xml:space="preserve"> </w:t>
      </w:r>
      <w:r>
        <w:t xml:space="preserve">rather than default Must.</w:t>
      </w:r>
    </w:p>
    <w:p>
      <w:pPr>
        <w:pStyle w:val="Compact"/>
        <w:numPr>
          <w:ilvl w:val="0"/>
          <w:numId w:val="1028"/>
        </w:numPr>
      </w:pPr>
      <w:r>
        <w:t xml:space="preserve">Autocapture must explicitly state</w:t>
      </w:r>
      <w:r>
        <w:t xml:space="preserve"> </w:t>
      </w:r>
      <w:r>
        <w:t xml:space="preserve">“</w:t>
      </w:r>
      <w:r>
        <w:t xml:space="preserve">structure-only, no field values by default.</w:t>
      </w:r>
      <w:r>
        <w:t xml:space="preserve">”</w:t>
      </w:r>
    </w:p>
    <w:bookmarkEnd w:id="37"/>
    <w:bookmarkStart w:id="38" w:name="update-03-solution-architecture.md"/>
    <w:p>
      <w:pPr>
        <w:pStyle w:val="Heading3"/>
      </w:pPr>
      <w:r>
        <w:t xml:space="preserve">4.4 Update</w:t>
      </w:r>
      <w:r>
        <w:t xml:space="preserve"> </w:t>
      </w:r>
      <w:r>
        <w:rPr>
          <w:rStyle w:val="VerbatimChar"/>
        </w:rPr>
        <w:t xml:space="preserve">03-solution-architecture.md</w:t>
      </w:r>
    </w:p>
    <w:p>
      <w:pPr>
        <w:pStyle w:val="FirstParagraph"/>
      </w:pPr>
      <w:r>
        <w:t xml:space="preserve">Change default implementation stack to: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Control plane:</w:t>
      </w:r>
      <w:r>
        <w:t xml:space="preserve"> </w:t>
      </w:r>
      <w:r>
        <w:t xml:space="preserve">.NET 9 / ASP.NET Core APIs.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Admin Studio:</w:t>
      </w:r>
      <w:r>
        <w:t xml:space="preserve"> </w:t>
      </w:r>
      <w:r>
        <w:t xml:space="preserve">Blazor Web App or ASP.NET Core + React only if UI velocity demands it.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Runtime SDK:</w:t>
      </w:r>
      <w:r>
        <w:t xml:space="preserve"> </w:t>
      </w:r>
      <w:r>
        <w:t xml:space="preserve">TypeScript, Shadow DOM, Vite/esbuild.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Browser extension:</w:t>
      </w:r>
      <w:r>
        <w:t xml:space="preserve"> </w:t>
      </w:r>
      <w:r>
        <w:t xml:space="preserve">TypeScript Manifest V3.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Azure SQL with Row-Level Security or Azure PostgreSQL with RLS; choose based on existing Property MTD data platform. If starting fresh, PostgreSQL remains strong; if staying Microsoft-native end to end, Azure SQL is cleaner.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ClickHouse on Azure or Azure Data Explorer/Fabric behind an analytics abstraction.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Azure OpenAI/OpenAI through a provider abstraction; optional additional providers later.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Build:</w:t>
      </w:r>
      <w:r>
        <w:t xml:space="preserve"> </w:t>
      </w:r>
      <w:r>
        <w:t xml:space="preserve">Visual Studio, Codex, GitHub, GitHub Actions.</w:t>
      </w:r>
    </w:p>
    <w:p>
      <w:pPr>
        <w:pStyle w:val="FirstParagraph"/>
      </w:pPr>
      <w:r>
        <w:t xml:space="preserve">Add Property MTD integration architecture:</w:t>
      </w:r>
    </w:p>
    <w:p>
      <w:pPr>
        <w:pStyle w:val="SourceCode"/>
      </w:pPr>
      <w:r>
        <w:rPr>
          <w:rStyle w:val="VerbatimChar"/>
        </w:rPr>
        <w:t xml:space="preserve">Property MTD Blazor App</w:t>
      </w:r>
      <w:r>
        <w:br/>
      </w:r>
      <w:r>
        <w:rPr>
          <w:rStyle w:val="VerbatimChar"/>
        </w:rPr>
        <w:t xml:space="preserve">  ├── Adoption SDK initialised in app shell</w:t>
      </w:r>
      <w:r>
        <w:br/>
      </w:r>
      <w:r>
        <w:rPr>
          <w:rStyle w:val="VerbatimChar"/>
        </w:rPr>
        <w:t xml:space="preserve">  ├── data-adopt-id anchors in shared components</w:t>
      </w:r>
      <w:r>
        <w:br/>
      </w:r>
      <w:r>
        <w:rPr>
          <w:rStyle w:val="VerbatimChar"/>
        </w:rPr>
        <w:t xml:space="preserve">  ├── route/context updates sent to runtime</w:t>
      </w:r>
      <w:r>
        <w:br/>
      </w:r>
      <w:r>
        <w:rPr>
          <w:rStyle w:val="VerbatimChar"/>
        </w:rPr>
        <w:t xml:space="preserve">  └── runtime experiences rendered in Shadow DOM</w:t>
      </w:r>
      <w:r>
        <w:br/>
      </w:r>
      <w:r>
        <w:br/>
      </w:r>
      <w:r>
        <w:rPr>
          <w:rStyle w:val="VerbatimChar"/>
        </w:rPr>
        <w:t xml:space="preserve">Property MTD Backend</w:t>
      </w:r>
      <w:r>
        <w:br/>
      </w:r>
      <w:r>
        <w:rPr>
          <w:rStyle w:val="VerbatimChar"/>
        </w:rPr>
        <w:t xml:space="preserve">  ├── /api/adoption/context</w:t>
      </w:r>
      <w:r>
        <w:br/>
      </w:r>
      <w:r>
        <w:rPr>
          <w:rStyle w:val="VerbatimChar"/>
        </w:rPr>
        <w:t xml:space="preserve">  ├── adoption-safe domain event adapter</w:t>
      </w:r>
      <w:r>
        <w:br/>
      </w:r>
      <w:r>
        <w:rPr>
          <w:rStyle w:val="VerbatimChar"/>
        </w:rPr>
        <w:t xml:space="preserve">  ├── sensitive data redaction</w:t>
      </w:r>
      <w:r>
        <w:br/>
      </w:r>
      <w:r>
        <w:rPr>
          <w:rStyle w:val="VerbatimChar"/>
        </w:rPr>
        <w:t xml:space="preserve">  └── no direct adoption access to HMRC tokens or payloads</w:t>
      </w:r>
      <w:r>
        <w:br/>
      </w:r>
      <w:r>
        <w:br/>
      </w:r>
      <w:r>
        <w:rPr>
          <w:rStyle w:val="VerbatimChar"/>
        </w:rPr>
        <w:t xml:space="preserve">Adoption SaaS Control Plane</w:t>
      </w:r>
      <w:r>
        <w:br/>
      </w:r>
      <w:r>
        <w:rPr>
          <w:rStyle w:val="VerbatimChar"/>
        </w:rPr>
        <w:t xml:space="preserve">  ├── content delivery</w:t>
      </w:r>
      <w:r>
        <w:br/>
      </w:r>
      <w:r>
        <w:rPr>
          <w:rStyle w:val="VerbatimChar"/>
        </w:rPr>
        <w:t xml:space="preserve">  ├── targeting</w:t>
      </w:r>
      <w:r>
        <w:br/>
      </w:r>
      <w:r>
        <w:rPr>
          <w:rStyle w:val="VerbatimChar"/>
        </w:rPr>
        <w:t xml:space="preserve">  ├── authoring</w:t>
      </w:r>
      <w:r>
        <w:br/>
      </w:r>
      <w:r>
        <w:rPr>
          <w:rStyle w:val="VerbatimChar"/>
        </w:rPr>
        <w:t xml:space="preserve">  ├── analytics</w:t>
      </w:r>
      <w:r>
        <w:br/>
      </w:r>
      <w:r>
        <w:rPr>
          <w:rStyle w:val="VerbatimChar"/>
        </w:rPr>
        <w:t xml:space="preserve">  ├── AI help</w:t>
      </w:r>
      <w:r>
        <w:br/>
      </w:r>
      <w:r>
        <w:rPr>
          <w:rStyle w:val="VerbatimChar"/>
        </w:rPr>
        <w:t xml:space="preserve">  ├── governance</w:t>
      </w:r>
      <w:r>
        <w:br/>
      </w:r>
      <w:r>
        <w:rPr>
          <w:rStyle w:val="VerbatimChar"/>
        </w:rPr>
        <w:t xml:space="preserve">  └── tenant/security administration</w:t>
      </w:r>
    </w:p>
    <w:bookmarkEnd w:id="38"/>
    <w:bookmarkStart w:id="39" w:name="update-04-wireframes.md"/>
    <w:p>
      <w:pPr>
        <w:pStyle w:val="Heading3"/>
      </w:pPr>
      <w:r>
        <w:t xml:space="preserve">4.5 Update</w:t>
      </w:r>
      <w:r>
        <w:t xml:space="preserve"> </w:t>
      </w:r>
      <w:r>
        <w:rPr>
          <w:rStyle w:val="VerbatimChar"/>
        </w:rPr>
        <w:t xml:space="preserve">04-wireframes.md</w:t>
      </w:r>
    </w:p>
    <w:p>
      <w:pPr>
        <w:pStyle w:val="FirstParagraph"/>
      </w:pPr>
      <w:r>
        <w:t xml:space="preserve">Add Property MTD-specific wireframes:</w:t>
      </w:r>
    </w:p>
    <w:p>
      <w:pPr>
        <w:pStyle w:val="Compact"/>
        <w:numPr>
          <w:ilvl w:val="0"/>
          <w:numId w:val="1030"/>
        </w:numPr>
      </w:pPr>
      <w:r>
        <w:t xml:space="preserve">Property MTD adoption dashboard.</w:t>
      </w:r>
    </w:p>
    <w:p>
      <w:pPr>
        <w:pStyle w:val="Compact"/>
        <w:numPr>
          <w:ilvl w:val="0"/>
          <w:numId w:val="1030"/>
        </w:numPr>
      </w:pPr>
      <w:r>
        <w:t xml:space="preserve">Property MTD guide pack management.</w:t>
      </w:r>
    </w:p>
    <w:p>
      <w:pPr>
        <w:pStyle w:val="Compact"/>
        <w:numPr>
          <w:ilvl w:val="0"/>
          <w:numId w:val="1030"/>
        </w:numPr>
      </w:pPr>
      <w:r>
        <w:t xml:space="preserve">HMRC authorisation walkthrough.</w:t>
      </w:r>
    </w:p>
    <w:p>
      <w:pPr>
        <w:pStyle w:val="Compact"/>
        <w:numPr>
          <w:ilvl w:val="0"/>
          <w:numId w:val="1030"/>
        </w:numPr>
      </w:pPr>
      <w:r>
        <w:t xml:space="preserve">Quarterly update walkthrough.</w:t>
      </w:r>
    </w:p>
    <w:p>
      <w:pPr>
        <w:pStyle w:val="Compact"/>
        <w:numPr>
          <w:ilvl w:val="0"/>
          <w:numId w:val="1030"/>
        </w:numPr>
      </w:pPr>
      <w:r>
        <w:t xml:space="preserve">Validation-error guidance panel.</w:t>
      </w:r>
    </w:p>
    <w:p>
      <w:pPr>
        <w:pStyle w:val="Compact"/>
        <w:numPr>
          <w:ilvl w:val="0"/>
          <w:numId w:val="1030"/>
        </w:numPr>
      </w:pPr>
      <w:r>
        <w:t xml:space="preserve">Agent/client readiness checklist.</w:t>
      </w:r>
    </w:p>
    <w:p>
      <w:pPr>
        <w:pStyle w:val="Compact"/>
        <w:numPr>
          <w:ilvl w:val="0"/>
          <w:numId w:val="1030"/>
        </w:numPr>
      </w:pPr>
      <w:r>
        <w:t xml:space="preserve">Compliance review screen for tax-sensitive content.</w:t>
      </w:r>
    </w:p>
    <w:p>
      <w:pPr>
        <w:pStyle w:val="Compact"/>
        <w:numPr>
          <w:ilvl w:val="0"/>
          <w:numId w:val="1030"/>
        </w:numPr>
      </w:pPr>
      <w:r>
        <w:t xml:space="preserve">Runtime contextual help on</w:t>
      </w:r>
      <w:r>
        <w:t xml:space="preserve"> </w:t>
      </w:r>
      <w:r>
        <w:rPr>
          <w:rStyle w:val="VerbatimChar"/>
        </w:rPr>
        <w:t xml:space="preserve">/properties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/expenses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/transactions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/quarterly-review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/hmrc-settings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/submissions</w:t>
      </w:r>
      <w:r>
        <w:t xml:space="preserve">.</w:t>
      </w:r>
    </w:p>
    <w:bookmarkEnd w:id="39"/>
    <w:bookmarkStart w:id="40" w:name="replace-05-claude-build-prompt.md"/>
    <w:p>
      <w:pPr>
        <w:pStyle w:val="Heading3"/>
      </w:pPr>
      <w:r>
        <w:t xml:space="preserve">4.6 Replace</w:t>
      </w:r>
      <w:r>
        <w:t xml:space="preserve"> </w:t>
      </w:r>
      <w:r>
        <w:rPr>
          <w:rStyle w:val="VerbatimChar"/>
        </w:rPr>
        <w:t xml:space="preserve">05-claude-build-prompt.md</w:t>
      </w:r>
    </w:p>
    <w:p>
      <w:pPr>
        <w:pStyle w:val="FirstParagraph"/>
      </w:pPr>
      <w:r>
        <w:t xml:space="preserve">Replace with</w:t>
      </w:r>
      <w:r>
        <w:t xml:space="preserve"> </w:t>
      </w:r>
      <w:r>
        <w:rPr>
          <w:rStyle w:val="VerbatimChar"/>
        </w:rPr>
        <w:t xml:space="preserve">05-codex-visual-studio-build-prompt.md</w:t>
      </w:r>
      <w:r>
        <w:t xml:space="preserve">.</w:t>
      </w:r>
    </w:p>
    <w:p>
      <w:pPr>
        <w:pStyle w:val="BodyText"/>
      </w:pPr>
      <w:r>
        <w:t xml:space="preserve">Required changes:</w:t>
      </w:r>
    </w:p>
    <w:p>
      <w:pPr>
        <w:pStyle w:val="Compact"/>
        <w:numPr>
          <w:ilvl w:val="0"/>
          <w:numId w:val="1031"/>
        </w:numPr>
      </w:pPr>
      <w:r>
        <w:t xml:space="preserve">Replace Claude Code with Codex.</w:t>
      </w:r>
    </w:p>
    <w:p>
      <w:pPr>
        <w:pStyle w:val="Compact"/>
        <w:numPr>
          <w:ilvl w:val="0"/>
          <w:numId w:val="1031"/>
        </w:numPr>
      </w:pPr>
      <w:r>
        <w:t xml:space="preserve">Replace Next.js/NestJS default with .NET-first control plane.</w:t>
      </w:r>
    </w:p>
    <w:p>
      <w:pPr>
        <w:pStyle w:val="Compact"/>
        <w:numPr>
          <w:ilvl w:val="0"/>
          <w:numId w:val="1031"/>
        </w:numPr>
      </w:pPr>
      <w:r>
        <w:t xml:space="preserve">Keep TypeScript runtime SDK.</w:t>
      </w:r>
    </w:p>
    <w:p>
      <w:pPr>
        <w:pStyle w:val="Compact"/>
        <w:numPr>
          <w:ilvl w:val="0"/>
          <w:numId w:val="1031"/>
        </w:numPr>
      </w:pPr>
      <w:r>
        <w:t xml:space="preserve">Add Visual Studio solution structure.</w:t>
      </w:r>
    </w:p>
    <w:p>
      <w:pPr>
        <w:pStyle w:val="Compact"/>
        <w:numPr>
          <w:ilvl w:val="0"/>
          <w:numId w:val="1031"/>
        </w:numPr>
      </w:pPr>
      <w:r>
        <w:t xml:space="preserve">Add Property MTD integration rules.</w:t>
      </w:r>
    </w:p>
    <w:p>
      <w:pPr>
        <w:pStyle w:val="Compact"/>
        <w:numPr>
          <w:ilvl w:val="0"/>
          <w:numId w:val="1031"/>
        </w:numPr>
      </w:pPr>
      <w:r>
        <w:t xml:space="preserve">Add maximum five production sprints.</w:t>
      </w:r>
    </w:p>
    <w:p>
      <w:pPr>
        <w:pStyle w:val="Compact"/>
        <w:numPr>
          <w:ilvl w:val="0"/>
          <w:numId w:val="1031"/>
        </w:numPr>
      </w:pPr>
      <w:r>
        <w:t xml:space="preserve">Add explicit Codex guardrails:</w:t>
      </w:r>
    </w:p>
    <w:p>
      <w:pPr>
        <w:pStyle w:val="Compact"/>
        <w:numPr>
          <w:ilvl w:val="1"/>
          <w:numId w:val="1032"/>
        </w:numPr>
      </w:pPr>
      <w:r>
        <w:t xml:space="preserve">no prototype code;</w:t>
      </w:r>
    </w:p>
    <w:p>
      <w:pPr>
        <w:pStyle w:val="Compact"/>
        <w:numPr>
          <w:ilvl w:val="1"/>
          <w:numId w:val="1032"/>
        </w:numPr>
      </w:pPr>
      <w:r>
        <w:t xml:space="preserve">no weakening tenant isolation;</w:t>
      </w:r>
    </w:p>
    <w:p>
      <w:pPr>
        <w:pStyle w:val="Compact"/>
        <w:numPr>
          <w:ilvl w:val="1"/>
          <w:numId w:val="1032"/>
        </w:numPr>
      </w:pPr>
      <w:r>
        <w:t xml:space="preserve">no tax data leakage;</w:t>
      </w:r>
    </w:p>
    <w:p>
      <w:pPr>
        <w:pStyle w:val="Compact"/>
        <w:numPr>
          <w:ilvl w:val="1"/>
          <w:numId w:val="1032"/>
        </w:numPr>
      </w:pPr>
      <w:r>
        <w:t xml:space="preserve">no HMRC workflow changes unless explicitly requested;</w:t>
      </w:r>
    </w:p>
    <w:p>
      <w:pPr>
        <w:pStyle w:val="Compact"/>
        <w:numPr>
          <w:ilvl w:val="1"/>
          <w:numId w:val="1032"/>
        </w:numPr>
      </w:pPr>
      <w:r>
        <w:t xml:space="preserve">every PR must include tests, documentation, and acceptance criteria.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7b063f75bc476b6d6ff788f1cd4291dd071d3c4"/>
    <w:p>
      <w:pPr>
        <w:pStyle w:val="Heading2"/>
      </w:pPr>
      <w:r>
        <w:t xml:space="preserve">5. Revised maximum-five-sprint production plan</w:t>
      </w:r>
    </w:p>
    <w:bookmarkStart w:id="42" w:name="X853ea3c9a656822250ae62c10368f47fe0fe4ed"/>
    <w:p>
      <w:pPr>
        <w:pStyle w:val="Heading3"/>
      </w:pPr>
      <w:r>
        <w:t xml:space="preserve">Sprint 1 — SaaS Foundation, Security &amp; Platform Skeleton</w:t>
      </w:r>
    </w:p>
    <w:p>
      <w:pPr>
        <w:pStyle w:val="FirstParagraph"/>
      </w:pPr>
      <w:r>
        <w:t xml:space="preserve">Deliver production-ready:</w:t>
      </w:r>
    </w:p>
    <w:p>
      <w:pPr>
        <w:pStyle w:val="Compact"/>
        <w:numPr>
          <w:ilvl w:val="0"/>
          <w:numId w:val="1033"/>
        </w:numPr>
      </w:pPr>
      <w:r>
        <w:t xml:space="preserve">Visual Studio solution and repo structure.</w:t>
      </w:r>
    </w:p>
    <w:p>
      <w:pPr>
        <w:pStyle w:val="Compact"/>
        <w:numPr>
          <w:ilvl w:val="0"/>
          <w:numId w:val="1033"/>
        </w:numPr>
      </w:pPr>
      <w:r>
        <w:t xml:space="preserve">.NET control plane API.</w:t>
      </w:r>
    </w:p>
    <w:p>
      <w:pPr>
        <w:pStyle w:val="Compact"/>
        <w:numPr>
          <w:ilvl w:val="0"/>
          <w:numId w:val="1033"/>
        </w:numPr>
      </w:pPr>
      <w:r>
        <w:t xml:space="preserve">Admin shell.</w:t>
      </w:r>
    </w:p>
    <w:p>
      <w:pPr>
        <w:pStyle w:val="Compact"/>
        <w:numPr>
          <w:ilvl w:val="0"/>
          <w:numId w:val="1033"/>
        </w:numPr>
      </w:pPr>
      <w:r>
        <w:t xml:space="preserve">Entra ID workforce authentication.</w:t>
      </w:r>
    </w:p>
    <w:p>
      <w:pPr>
        <w:pStyle w:val="Compact"/>
        <w:numPr>
          <w:ilvl w:val="0"/>
          <w:numId w:val="1033"/>
        </w:numPr>
      </w:pPr>
      <w:r>
        <w:t xml:space="preserve">Entra External ID support path.</w:t>
      </w:r>
    </w:p>
    <w:p>
      <w:pPr>
        <w:pStyle w:val="Compact"/>
        <w:numPr>
          <w:ilvl w:val="0"/>
          <w:numId w:val="1033"/>
        </w:numPr>
      </w:pPr>
      <w:r>
        <w:t xml:space="preserve">Multi-tenant data model.</w:t>
      </w:r>
    </w:p>
    <w:p>
      <w:pPr>
        <w:pStyle w:val="Compact"/>
        <w:numPr>
          <w:ilvl w:val="0"/>
          <w:numId w:val="1033"/>
        </w:numPr>
      </w:pPr>
      <w:r>
        <w:t xml:space="preserve">Row-level tenant isolation.</w:t>
      </w:r>
    </w:p>
    <w:p>
      <w:pPr>
        <w:pStyle w:val="Compact"/>
        <w:numPr>
          <w:ilvl w:val="0"/>
          <w:numId w:val="1033"/>
        </w:numPr>
      </w:pPr>
      <w:r>
        <w:t xml:space="preserve">RBAC.</w:t>
      </w:r>
    </w:p>
    <w:p>
      <w:pPr>
        <w:pStyle w:val="Compact"/>
        <w:numPr>
          <w:ilvl w:val="0"/>
          <w:numId w:val="1033"/>
        </w:numPr>
      </w:pPr>
      <w:r>
        <w:t xml:space="preserve">Audit logging.</w:t>
      </w:r>
    </w:p>
    <w:p>
      <w:pPr>
        <w:pStyle w:val="Compact"/>
        <w:numPr>
          <w:ilvl w:val="0"/>
          <w:numId w:val="1033"/>
        </w:numPr>
      </w:pPr>
      <w:r>
        <w:t xml:space="preserve">Azure infrastructure via Bicep.</w:t>
      </w:r>
    </w:p>
    <w:p>
      <w:pPr>
        <w:pStyle w:val="Compact"/>
        <w:numPr>
          <w:ilvl w:val="0"/>
          <w:numId w:val="1033"/>
        </w:numPr>
      </w:pPr>
      <w:r>
        <w:t xml:space="preserve">GitHub Actions CI/CD.</w:t>
      </w:r>
    </w:p>
    <w:p>
      <w:pPr>
        <w:pStyle w:val="Compact"/>
        <w:numPr>
          <w:ilvl w:val="0"/>
          <w:numId w:val="1033"/>
        </w:numPr>
      </w:pPr>
      <w:r>
        <w:t xml:space="preserve">CodeQL, dependency scanning, secret scanning.</w:t>
      </w:r>
    </w:p>
    <w:p>
      <w:pPr>
        <w:pStyle w:val="Compact"/>
        <w:numPr>
          <w:ilvl w:val="0"/>
          <w:numId w:val="1033"/>
        </w:numPr>
      </w:pPr>
      <w:r>
        <w:t xml:space="preserve">OpenTelemetry baseline.</w:t>
      </w:r>
    </w:p>
    <w:p>
      <w:pPr>
        <w:pStyle w:val="Compact"/>
        <w:numPr>
          <w:ilvl w:val="0"/>
          <w:numId w:val="1033"/>
        </w:numPr>
      </w:pPr>
      <w:r>
        <w:t xml:space="preserve">Tenant isolation test harness.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34"/>
        </w:numPr>
      </w:pPr>
      <w:r>
        <w:t xml:space="preserve">A tenant admin can sign in, see a tenant-scoped admin shell, create/read tenant-scoped configuration, and CI proves cross-tenant access fails.</w:t>
      </w:r>
    </w:p>
    <w:bookmarkEnd w:id="42"/>
    <w:bookmarkStart w:id="43" w:name="X7092d71e585dfd8c48b967fcdb445d5de6a87e3"/>
    <w:p>
      <w:pPr>
        <w:pStyle w:val="Heading3"/>
      </w:pPr>
      <w:r>
        <w:t xml:space="preserve">Sprint 2 — Runtime SDK, Property MTD Integration &amp; Core Guidance</w:t>
      </w:r>
    </w:p>
    <w:p>
      <w:pPr>
        <w:pStyle w:val="FirstParagraph"/>
      </w:pPr>
      <w:r>
        <w:t xml:space="preserve">Deliver production-ready:</w:t>
      </w:r>
    </w:p>
    <w:p>
      <w:pPr>
        <w:pStyle w:val="Compact"/>
        <w:numPr>
          <w:ilvl w:val="0"/>
          <w:numId w:val="1035"/>
        </w:numPr>
      </w:pPr>
      <w:r>
        <w:t xml:space="preserve">TypeScript runtime SDK.</w:t>
      </w:r>
    </w:p>
    <w:p>
      <w:pPr>
        <w:pStyle w:val="Compact"/>
        <w:numPr>
          <w:ilvl w:val="0"/>
          <w:numId w:val="1035"/>
        </w:numPr>
      </w:pPr>
      <w:r>
        <w:t xml:space="preserve">Blazor integration wrapper for Property MTD.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data-adopt-id</w:t>
      </w:r>
      <w:r>
        <w:t xml:space="preserve"> </w:t>
      </w:r>
      <w:r>
        <w:t xml:space="preserve">support in key Property MTD components.</w:t>
      </w:r>
    </w:p>
    <w:p>
      <w:pPr>
        <w:pStyle w:val="Compact"/>
        <w:numPr>
          <w:ilvl w:val="0"/>
          <w:numId w:val="1035"/>
        </w:numPr>
      </w:pPr>
      <w:r>
        <w:t xml:space="preserve">Safe</w:t>
      </w:r>
      <w:r>
        <w:t xml:space="preserve"> </w:t>
      </w:r>
      <w:r>
        <w:rPr>
          <w:rStyle w:val="VerbatimChar"/>
        </w:rPr>
        <w:t xml:space="preserve">/api/adoption/context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035"/>
        </w:numPr>
      </w:pPr>
      <w:r>
        <w:t xml:space="preserve">Content model for walkthroughs, tooltips, banners, checklists, launchers, and resource centre.</w:t>
      </w:r>
    </w:p>
    <w:p>
      <w:pPr>
        <w:pStyle w:val="Compact"/>
        <w:numPr>
          <w:ilvl w:val="0"/>
          <w:numId w:val="1035"/>
        </w:numPr>
      </w:pPr>
      <w:r>
        <w:t xml:space="preserve">CDN/versioned bundle delivery.</w:t>
      </w:r>
    </w:p>
    <w:p>
      <w:pPr>
        <w:pStyle w:val="Compact"/>
        <w:numPr>
          <w:ilvl w:val="0"/>
          <w:numId w:val="1035"/>
        </w:numPr>
      </w:pPr>
      <w:r>
        <w:t xml:space="preserve">Client-side rule evaluation.</w:t>
      </w:r>
    </w:p>
    <w:p>
      <w:pPr>
        <w:pStyle w:val="Compact"/>
        <w:numPr>
          <w:ilvl w:val="0"/>
          <w:numId w:val="1035"/>
        </w:numPr>
      </w:pPr>
      <w:r>
        <w:t xml:space="preserve">Element engine v1 using deterministic DOM strategies.</w:t>
      </w:r>
    </w:p>
    <w:p>
      <w:pPr>
        <w:pStyle w:val="Compact"/>
        <w:numPr>
          <w:ilvl w:val="0"/>
          <w:numId w:val="1035"/>
        </w:numPr>
      </w:pPr>
      <w:r>
        <w:t xml:space="preserve">Initial Property MTD guide pack.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36"/>
        </w:numPr>
      </w:pPr>
      <w:r>
        <w:t xml:space="preserve">A production-safe guide runs in Property MTD, targets users by safe context, attaches to stable anchors, persists completion/dismissal state, and never accesses HMRC/tax-sensitive data.</w:t>
      </w:r>
    </w:p>
    <w:bookmarkEnd w:id="43"/>
    <w:bookmarkStart w:id="44" w:name="X9494530359d9adc66de3db11870670726cc3b01"/>
    <w:p>
      <w:pPr>
        <w:pStyle w:val="Heading3"/>
      </w:pPr>
      <w:r>
        <w:t xml:space="preserve">Sprint 3 — Authoring Studio, Governance &amp; Content Lifecycle</w:t>
      </w:r>
    </w:p>
    <w:p>
      <w:pPr>
        <w:pStyle w:val="FirstParagraph"/>
      </w:pPr>
      <w:r>
        <w:t xml:space="preserve">Deliver production-ready:</w:t>
      </w:r>
    </w:p>
    <w:p>
      <w:pPr>
        <w:pStyle w:val="Compact"/>
        <w:numPr>
          <w:ilvl w:val="0"/>
          <w:numId w:val="1037"/>
        </w:numPr>
      </w:pPr>
      <w:r>
        <w:t xml:space="preserve">No-code authoring studio.</w:t>
      </w:r>
    </w:p>
    <w:p>
      <w:pPr>
        <w:pStyle w:val="Compact"/>
        <w:numPr>
          <w:ilvl w:val="0"/>
          <w:numId w:val="1037"/>
        </w:numPr>
      </w:pPr>
      <w:r>
        <w:t xml:space="preserve">In-app editor/capture mode.</w:t>
      </w:r>
    </w:p>
    <w:p>
      <w:pPr>
        <w:pStyle w:val="Compact"/>
        <w:numPr>
          <w:ilvl w:val="0"/>
          <w:numId w:val="1037"/>
        </w:numPr>
      </w:pPr>
      <w:r>
        <w:t xml:space="preserve">True runtime preview.</w:t>
      </w:r>
    </w:p>
    <w:p>
      <w:pPr>
        <w:pStyle w:val="Compact"/>
        <w:numPr>
          <w:ilvl w:val="0"/>
          <w:numId w:val="1037"/>
        </w:numPr>
      </w:pPr>
      <w:r>
        <w:t xml:space="preserve">Draft/review/approval/publish lifecycle.</w:t>
      </w:r>
    </w:p>
    <w:p>
      <w:pPr>
        <w:pStyle w:val="Compact"/>
        <w:numPr>
          <w:ilvl w:val="0"/>
          <w:numId w:val="1037"/>
        </w:numPr>
      </w:pPr>
      <w:r>
        <w:t xml:space="preserve">Compliance review flag for tax-sensitive content.</w:t>
      </w:r>
    </w:p>
    <w:p>
      <w:pPr>
        <w:pStyle w:val="Compact"/>
        <w:numPr>
          <w:ilvl w:val="0"/>
          <w:numId w:val="1037"/>
        </w:numPr>
      </w:pPr>
      <w:r>
        <w:t xml:space="preserve">Versioning and rollback.</w:t>
      </w:r>
    </w:p>
    <w:p>
      <w:pPr>
        <w:pStyle w:val="Compact"/>
        <w:numPr>
          <w:ilvl w:val="0"/>
          <w:numId w:val="1037"/>
        </w:numPr>
      </w:pPr>
      <w:r>
        <w:t xml:space="preserve">Environments: dev, test, production.</w:t>
      </w:r>
    </w:p>
    <w:p>
      <w:pPr>
        <w:pStyle w:val="Compact"/>
        <w:numPr>
          <w:ilvl w:val="0"/>
          <w:numId w:val="1037"/>
        </w:numPr>
      </w:pPr>
      <w:r>
        <w:t xml:space="preserve">Theming and accessibility standards.</w:t>
      </w:r>
    </w:p>
    <w:p>
      <w:pPr>
        <w:pStyle w:val="Compact"/>
        <w:numPr>
          <w:ilvl w:val="0"/>
          <w:numId w:val="1037"/>
        </w:numPr>
      </w:pPr>
      <w:r>
        <w:t xml:space="preserve">Anchor health v1.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38"/>
        </w:numPr>
      </w:pPr>
      <w:r>
        <w:t xml:space="preserve">An authorised content author can create, preview, submit, approve, and publish Property MTD guidance through governance with full audit trail and rollback.</w:t>
      </w:r>
    </w:p>
    <w:bookmarkEnd w:id="44"/>
    <w:bookmarkStart w:id="45" w:name="X78909a2625cb0a617659663890d9487f4558e99"/>
    <w:p>
      <w:pPr>
        <w:pStyle w:val="Heading3"/>
      </w:pPr>
      <w:r>
        <w:t xml:space="preserve">Sprint 4 — Analytics, Segmentation, AI Help &amp; Closed Loop</w:t>
      </w:r>
    </w:p>
    <w:p>
      <w:pPr>
        <w:pStyle w:val="FirstParagraph"/>
      </w:pPr>
      <w:r>
        <w:t xml:space="preserve">Deliver production-ready:</w:t>
      </w:r>
    </w:p>
    <w:p>
      <w:pPr>
        <w:pStyle w:val="Compact"/>
        <w:numPr>
          <w:ilvl w:val="0"/>
          <w:numId w:val="1039"/>
        </w:numPr>
      </w:pPr>
      <w:r>
        <w:t xml:space="preserve">Runtime event collector.</w:t>
      </w:r>
    </w:p>
    <w:p>
      <w:pPr>
        <w:pStyle w:val="Compact"/>
        <w:numPr>
          <w:ilvl w:val="0"/>
          <w:numId w:val="1039"/>
        </w:numPr>
      </w:pPr>
      <w:r>
        <w:t xml:space="preserve">Event ingestion pipeline.</w:t>
      </w:r>
    </w:p>
    <w:p>
      <w:pPr>
        <w:pStyle w:val="Compact"/>
        <w:numPr>
          <w:ilvl w:val="0"/>
          <w:numId w:val="1039"/>
        </w:numPr>
      </w:pPr>
      <w:r>
        <w:t xml:space="preserve">Structural autocapture.</w:t>
      </w:r>
    </w:p>
    <w:p>
      <w:pPr>
        <w:pStyle w:val="Compact"/>
        <w:numPr>
          <w:ilvl w:val="0"/>
          <w:numId w:val="1039"/>
        </w:numPr>
      </w:pPr>
      <w:r>
        <w:t xml:space="preserve">Property MTD workflow events.</w:t>
      </w:r>
    </w:p>
    <w:p>
      <w:pPr>
        <w:pStyle w:val="Compact"/>
        <w:numPr>
          <w:ilvl w:val="0"/>
          <w:numId w:val="1039"/>
        </w:numPr>
      </w:pPr>
      <w:r>
        <w:t xml:space="preserve">Funnel and guide analytics.</w:t>
      </w:r>
    </w:p>
    <w:p>
      <w:pPr>
        <w:pStyle w:val="Compact"/>
        <w:numPr>
          <w:ilvl w:val="0"/>
          <w:numId w:val="1039"/>
        </w:numPr>
      </w:pPr>
      <w:r>
        <w:t xml:space="preserve">Segment builder.</w:t>
      </w:r>
    </w:p>
    <w:p>
      <w:pPr>
        <w:pStyle w:val="Compact"/>
        <w:numPr>
          <w:ilvl w:val="0"/>
          <w:numId w:val="1039"/>
        </w:numPr>
      </w:pPr>
      <w:r>
        <w:t xml:space="preserve">Cohort-to-segment targeting.</w:t>
      </w:r>
    </w:p>
    <w:p>
      <w:pPr>
        <w:pStyle w:val="Compact"/>
        <w:numPr>
          <w:ilvl w:val="0"/>
          <w:numId w:val="1039"/>
        </w:numPr>
      </w:pPr>
      <w:r>
        <w:t xml:space="preserve">Self-help widget.</w:t>
      </w:r>
    </w:p>
    <w:p>
      <w:pPr>
        <w:pStyle w:val="Compact"/>
        <w:numPr>
          <w:ilvl w:val="0"/>
          <w:numId w:val="1039"/>
        </w:numPr>
      </w:pPr>
      <w:r>
        <w:t xml:space="preserve">RAG answer agent with approved knowledge sources.</w:t>
      </w:r>
    </w:p>
    <w:p>
      <w:pPr>
        <w:pStyle w:val="Compact"/>
        <w:numPr>
          <w:ilvl w:val="0"/>
          <w:numId w:val="1039"/>
        </w:numPr>
      </w:pPr>
      <w:r>
        <w:t xml:space="preserve">AI co-author.</w:t>
      </w:r>
    </w:p>
    <w:p>
      <w:pPr>
        <w:pStyle w:val="Compact"/>
        <w:numPr>
          <w:ilvl w:val="0"/>
          <w:numId w:val="1039"/>
        </w:numPr>
      </w:pPr>
      <w:r>
        <w:t xml:space="preserve">AI insights agent.</w:t>
      </w:r>
    </w:p>
    <w:p>
      <w:pPr>
        <w:pStyle w:val="Compact"/>
        <w:numPr>
          <w:ilvl w:val="0"/>
          <w:numId w:val="1039"/>
        </w:numPr>
      </w:pPr>
      <w:r>
        <w:t xml:space="preserve">No-tax-advice and no-sensitive-data guardrails.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40"/>
        </w:numPr>
      </w:pPr>
      <w:r>
        <w:t xml:space="preserve">Product team can see where users abandon Property MTD workflows, target a segment with guidance, measure guide-to-outcome conversion, and users can ask the help widget approved knowledge questions with cited answers.</w:t>
      </w:r>
    </w:p>
    <w:bookmarkEnd w:id="45"/>
    <w:bookmarkStart w:id="46" w:name="Xe1261d75f79709d634190fdf308e7793ec628d5"/>
    <w:p>
      <w:pPr>
        <w:pStyle w:val="Heading3"/>
      </w:pPr>
      <w:r>
        <w:t xml:space="preserve">Sprint 5 — Enterprise Hardening, Scale, Extension &amp; Production Readiness</w:t>
      </w:r>
    </w:p>
    <w:p>
      <w:pPr>
        <w:pStyle w:val="FirstParagraph"/>
      </w:pPr>
      <w:r>
        <w:t xml:space="preserve">Deliver production-ready:</w:t>
      </w:r>
    </w:p>
    <w:p>
      <w:pPr>
        <w:pStyle w:val="Compact"/>
        <w:numPr>
          <w:ilvl w:val="0"/>
          <w:numId w:val="1041"/>
        </w:numPr>
      </w:pPr>
      <w:r>
        <w:t xml:space="preserve">Advanced RBAC/custom roles.</w:t>
      </w:r>
    </w:p>
    <w:p>
      <w:pPr>
        <w:pStyle w:val="Compact"/>
        <w:numPr>
          <w:ilvl w:val="0"/>
          <w:numId w:val="1041"/>
        </w:numPr>
      </w:pPr>
      <w:r>
        <w:t xml:space="preserve">SCIM provisioning.</w:t>
      </w:r>
    </w:p>
    <w:p>
      <w:pPr>
        <w:pStyle w:val="Compact"/>
        <w:numPr>
          <w:ilvl w:val="0"/>
          <w:numId w:val="1041"/>
        </w:numPr>
      </w:pPr>
      <w:r>
        <w:t xml:space="preserve">Data residency controls.</w:t>
      </w:r>
    </w:p>
    <w:p>
      <w:pPr>
        <w:pStyle w:val="Compact"/>
        <w:numPr>
          <w:ilvl w:val="0"/>
          <w:numId w:val="1041"/>
        </w:numPr>
      </w:pPr>
      <w:r>
        <w:t xml:space="preserve">Silo tenant seam.</w:t>
      </w:r>
    </w:p>
    <w:p>
      <w:pPr>
        <w:pStyle w:val="Compact"/>
        <w:numPr>
          <w:ilvl w:val="0"/>
          <w:numId w:val="1041"/>
        </w:numPr>
      </w:pPr>
      <w:r>
        <w:t xml:space="preserve">Surveys/NPS.</w:t>
      </w:r>
    </w:p>
    <w:p>
      <w:pPr>
        <w:pStyle w:val="Compact"/>
        <w:numPr>
          <w:ilvl w:val="0"/>
          <w:numId w:val="1041"/>
        </w:numPr>
      </w:pPr>
      <w:r>
        <w:t xml:space="preserve">Data export.</w:t>
      </w:r>
    </w:p>
    <w:p>
      <w:pPr>
        <w:pStyle w:val="Compact"/>
        <w:numPr>
          <w:ilvl w:val="0"/>
          <w:numId w:val="1041"/>
        </w:numPr>
      </w:pPr>
      <w:r>
        <w:t xml:space="preserve">Webhooks.</w:t>
      </w:r>
    </w:p>
    <w:p>
      <w:pPr>
        <w:pStyle w:val="Compact"/>
        <w:numPr>
          <w:ilvl w:val="0"/>
          <w:numId w:val="1041"/>
        </w:numPr>
      </w:pPr>
      <w:r>
        <w:t xml:space="preserve">Browser extension for third-party apps.</w:t>
      </w:r>
    </w:p>
    <w:p>
      <w:pPr>
        <w:pStyle w:val="Compact"/>
        <w:numPr>
          <w:ilvl w:val="0"/>
          <w:numId w:val="1041"/>
        </w:numPr>
      </w:pPr>
      <w:r>
        <w:t xml:space="preserve">Element Library v1.</w:t>
      </w:r>
    </w:p>
    <w:p>
      <w:pPr>
        <w:pStyle w:val="Compact"/>
        <w:numPr>
          <w:ilvl w:val="0"/>
          <w:numId w:val="1041"/>
        </w:numPr>
      </w:pPr>
      <w:r>
        <w:t xml:space="preserve">Vision fallback behind tenant opt-in.</w:t>
      </w:r>
    </w:p>
    <w:p>
      <w:pPr>
        <w:pStyle w:val="Compact"/>
        <w:numPr>
          <w:ilvl w:val="0"/>
          <w:numId w:val="1041"/>
        </w:numPr>
      </w:pPr>
      <w:r>
        <w:t xml:space="preserve">Performance/load testing.</w:t>
      </w:r>
    </w:p>
    <w:p>
      <w:pPr>
        <w:pStyle w:val="Compact"/>
        <w:numPr>
          <w:ilvl w:val="0"/>
          <w:numId w:val="1041"/>
        </w:numPr>
      </w:pPr>
      <w:r>
        <w:t xml:space="preserve">Security hardening.</w:t>
      </w:r>
    </w:p>
    <w:p>
      <w:pPr>
        <w:pStyle w:val="Compact"/>
        <w:numPr>
          <w:ilvl w:val="0"/>
          <w:numId w:val="1041"/>
        </w:numPr>
      </w:pPr>
      <w:r>
        <w:t xml:space="preserve">DR/backup/restore runbooks.</w:t>
      </w:r>
    </w:p>
    <w:p>
      <w:pPr>
        <w:pStyle w:val="Compact"/>
        <w:numPr>
          <w:ilvl w:val="0"/>
          <w:numId w:val="1041"/>
        </w:numPr>
      </w:pPr>
      <w:r>
        <w:t xml:space="preserve">Operational dashboards.</w:t>
      </w:r>
    </w:p>
    <w:p>
      <w:pPr>
        <w:pStyle w:val="Compact"/>
        <w:numPr>
          <w:ilvl w:val="0"/>
          <w:numId w:val="1041"/>
        </w:numPr>
      </w:pPr>
      <w:r>
        <w:t xml:space="preserve">Production deployment checklist.</w:t>
      </w:r>
    </w:p>
    <w:p>
      <w:pPr>
        <w:pStyle w:val="FirstParagraph"/>
      </w:pPr>
      <w:r>
        <w:t xml:space="preserve">Exit gate:</w:t>
      </w:r>
    </w:p>
    <w:p>
      <w:pPr>
        <w:pStyle w:val="Compact"/>
        <w:numPr>
          <w:ilvl w:val="0"/>
          <w:numId w:val="1042"/>
        </w:numPr>
      </w:pPr>
      <w:r>
        <w:t xml:space="preserve">The platform is production-ready SaaS for Property MTD and future owned apps, with a controlled path to third-party app coverage through extension mode.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odex-master-prompt-replacement-summary"/>
    <w:p>
      <w:pPr>
        <w:pStyle w:val="Heading2"/>
      </w:pPr>
      <w:r>
        <w:t xml:space="preserve">6. Codex master prompt replacement — summary</w:t>
      </w:r>
    </w:p>
    <w:p>
      <w:pPr>
        <w:pStyle w:val="FirstParagraph"/>
      </w:pPr>
      <w:r>
        <w:t xml:space="preserve">A full</w:t>
      </w:r>
      <w:r>
        <w:t xml:space="preserve"> </w:t>
      </w:r>
      <w:r>
        <w:rPr>
          <w:rStyle w:val="VerbatimChar"/>
        </w:rPr>
        <w:t xml:space="preserve">05-codex-visual-studio-build-prompt.md</w:t>
      </w:r>
      <w:r>
        <w:t xml:space="preserve"> </w:t>
      </w:r>
      <w:r>
        <w:t xml:space="preserve">should instruct Codex to:</w:t>
      </w:r>
    </w:p>
    <w:p>
      <w:pPr>
        <w:pStyle w:val="Compact"/>
        <w:numPr>
          <w:ilvl w:val="0"/>
          <w:numId w:val="1043"/>
        </w:numPr>
      </w:pPr>
      <w:r>
        <w:t xml:space="preserve">build production-grade code only;</w:t>
      </w:r>
    </w:p>
    <w:p>
      <w:pPr>
        <w:pStyle w:val="Compact"/>
        <w:numPr>
          <w:ilvl w:val="0"/>
          <w:numId w:val="1043"/>
        </w:numPr>
      </w:pPr>
      <w:r>
        <w:t xml:space="preserve">use Visual Studio and .NET-first architecture;</w:t>
      </w:r>
    </w:p>
    <w:p>
      <w:pPr>
        <w:pStyle w:val="Compact"/>
        <w:numPr>
          <w:ilvl w:val="0"/>
          <w:numId w:val="1043"/>
        </w:numPr>
      </w:pPr>
      <w:r>
        <w:t xml:space="preserve">keep TypeScript runtime SDK isolated and small;</w:t>
      </w:r>
    </w:p>
    <w:p>
      <w:pPr>
        <w:pStyle w:val="Compact"/>
        <w:numPr>
          <w:ilvl w:val="0"/>
          <w:numId w:val="1043"/>
        </w:numPr>
      </w:pPr>
      <w:r>
        <w:t xml:space="preserve">keep tenant isolation sacred;</w:t>
      </w:r>
    </w:p>
    <w:p>
      <w:pPr>
        <w:pStyle w:val="Compact"/>
        <w:numPr>
          <w:ilvl w:val="0"/>
          <w:numId w:val="1043"/>
        </w:numPr>
      </w:pPr>
      <w:r>
        <w:t xml:space="preserve">keep Property MTD business/HMRC logic untouched unless explicitly requested;</w:t>
      </w:r>
    </w:p>
    <w:p>
      <w:pPr>
        <w:pStyle w:val="Compact"/>
        <w:numPr>
          <w:ilvl w:val="0"/>
          <w:numId w:val="1043"/>
        </w:numPr>
      </w:pPr>
      <w:r>
        <w:t xml:space="preserve">use Entra/External ID, RBAC, audit, Key Vault, managed identities, and GitHub Actions;</w:t>
      </w:r>
    </w:p>
    <w:p>
      <w:pPr>
        <w:pStyle w:val="Compact"/>
        <w:numPr>
          <w:ilvl w:val="0"/>
          <w:numId w:val="1043"/>
        </w:numPr>
      </w:pPr>
      <w:r>
        <w:t xml:space="preserve">implement the five sprints in order;</w:t>
      </w:r>
    </w:p>
    <w:p>
      <w:pPr>
        <w:pStyle w:val="Compact"/>
        <w:numPr>
          <w:ilvl w:val="0"/>
          <w:numId w:val="1043"/>
        </w:numPr>
      </w:pPr>
      <w:r>
        <w:t xml:space="preserve">create small PRs;</w:t>
      </w:r>
    </w:p>
    <w:p>
      <w:pPr>
        <w:pStyle w:val="Compact"/>
        <w:numPr>
          <w:ilvl w:val="0"/>
          <w:numId w:val="1043"/>
        </w:numPr>
      </w:pPr>
      <w:r>
        <w:t xml:space="preserve">reference requirement IDs in every PR;</w:t>
      </w:r>
    </w:p>
    <w:p>
      <w:pPr>
        <w:pStyle w:val="Compact"/>
        <w:numPr>
          <w:ilvl w:val="0"/>
          <w:numId w:val="1043"/>
        </w:numPr>
      </w:pPr>
      <w:r>
        <w:t xml:space="preserve">include tests and docs in every PR;</w:t>
      </w:r>
    </w:p>
    <w:p>
      <w:pPr>
        <w:pStyle w:val="Compact"/>
        <w:numPr>
          <w:ilvl w:val="0"/>
          <w:numId w:val="1043"/>
        </w:numPr>
      </w:pPr>
      <w:r>
        <w:t xml:space="preserve">never collect sensitive MTD data by default;</w:t>
      </w:r>
    </w:p>
    <w:p>
      <w:pPr>
        <w:pStyle w:val="Compact"/>
        <w:numPr>
          <w:ilvl w:val="0"/>
          <w:numId w:val="1043"/>
        </w:numPr>
      </w:pPr>
      <w:r>
        <w:t xml:space="preserve">run build, unit, integration, Playwright, isolation, accessibility, and security checks before claiming completion.</w:t>
      </w:r>
    </w:p>
    <w:p>
      <w:r>
        <w:pict>
          <v:rect style="width:0;height:1.5pt" o:hralign="center" o:hrstd="t" o:hr="t"/>
        </w:pict>
      </w:r>
    </w:p>
    <w:bookmarkEnd w:id="48"/>
    <w:bookmarkStart w:id="49" w:name="final-recommendation"/>
    <w:p>
      <w:pPr>
        <w:pStyle w:val="Heading2"/>
      </w:pPr>
      <w:r>
        <w:t xml:space="preserve">7. Final recommendation</w:t>
      </w:r>
    </w:p>
    <w:p>
      <w:pPr>
        <w:pStyle w:val="FirstParagraph"/>
      </w:pPr>
      <w:r>
        <w:t xml:space="preserve">Use the uploaded pack as the specification baseline, but apply the amendments in this document before starting development.</w:t>
      </w:r>
    </w:p>
    <w:p>
      <w:pPr>
        <w:pStyle w:val="BodyText"/>
      </w:pPr>
      <w:r>
        <w:t xml:space="preserve">The corrected direction is:</w:t>
      </w:r>
    </w:p>
    <w:p>
      <w:pPr>
        <w:pStyle w:val="SourceCode"/>
      </w:pPr>
      <w:r>
        <w:rPr>
          <w:rStyle w:val="VerbatimChar"/>
        </w:rPr>
        <w:t xml:space="preserve">Production-grade Microsoft-secured DAP SaaS</w:t>
      </w:r>
      <w:r>
        <w:br/>
      </w:r>
      <w:r>
        <w:rPr>
          <w:rStyle w:val="VerbatimChar"/>
        </w:rPr>
        <w:t xml:space="preserve">+ first-party SDK for Property MTD and owned apps</w:t>
      </w:r>
      <w:r>
        <w:br/>
      </w:r>
      <w:r>
        <w:rPr>
          <w:rStyle w:val="VerbatimChar"/>
        </w:rPr>
        <w:t xml:space="preserve">+ browser extension for third-party apps</w:t>
      </w:r>
      <w:r>
        <w:br/>
      </w:r>
      <w:r>
        <w:rPr>
          <w:rStyle w:val="VerbatimChar"/>
        </w:rPr>
        <w:t xml:space="preserve">+ .NET/Blazor/Visual Studio control plane</w:t>
      </w:r>
      <w:r>
        <w:br/>
      </w:r>
      <w:r>
        <w:rPr>
          <w:rStyle w:val="VerbatimChar"/>
        </w:rPr>
        <w:t xml:space="preserve">+ TypeScript runtime SDK</w:t>
      </w:r>
      <w:r>
        <w:br/>
      </w:r>
      <w:r>
        <w:rPr>
          <w:rStyle w:val="VerbatimChar"/>
        </w:rPr>
        <w:t xml:space="preserve">+ Entra ID / Entra External ID</w:t>
      </w:r>
      <w:r>
        <w:br/>
      </w:r>
      <w:r>
        <w:rPr>
          <w:rStyle w:val="VerbatimChar"/>
        </w:rPr>
        <w:t xml:space="preserve">+ strict tenant isolation</w:t>
      </w:r>
      <w:r>
        <w:br/>
      </w:r>
      <w:r>
        <w:rPr>
          <w:rStyle w:val="VerbatimChar"/>
        </w:rPr>
        <w:t xml:space="preserve">+ safe Property MTD context/events</w:t>
      </w:r>
      <w:r>
        <w:br/>
      </w:r>
      <w:r>
        <w:rPr>
          <w:rStyle w:val="VerbatimChar"/>
        </w:rPr>
        <w:t xml:space="preserve">+ no sensitive tax-data capture</w:t>
      </w:r>
      <w:r>
        <w:br/>
      </w:r>
      <w:r>
        <w:rPr>
          <w:rStyle w:val="VerbatimChar"/>
        </w:rPr>
        <w:t xml:space="preserve">+ resilient element engine</w:t>
      </w:r>
      <w:r>
        <w:br/>
      </w:r>
      <w:r>
        <w:rPr>
          <w:rStyle w:val="VerbatimChar"/>
        </w:rPr>
        <w:t xml:space="preserve">+ no-code authoring</w:t>
      </w:r>
      <w:r>
        <w:br/>
      </w:r>
      <w:r>
        <w:rPr>
          <w:rStyle w:val="VerbatimChar"/>
        </w:rPr>
        <w:t xml:space="preserve">+ analytics closed loop</w:t>
      </w:r>
      <w:r>
        <w:br/>
      </w:r>
      <w:r>
        <w:rPr>
          <w:rStyle w:val="VerbatimChar"/>
        </w:rPr>
        <w:t xml:space="preserve">+ governed AI assistance</w:t>
      </w:r>
      <w:r>
        <w:br/>
      </w:r>
      <w:r>
        <w:rPr>
          <w:rStyle w:val="VerbatimChar"/>
        </w:rPr>
        <w:t xml:space="preserve">+ maximum five production sprints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2026-06-27T16:15:49Z</dcterms:created>
  <dcterms:modified xsi:type="dcterms:W3CDTF">2026-06-27T16:15:49Z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