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e002766094aa5314afbf66fe7d86ed72742d0c"/>
    <w:p>
      <w:pPr>
        <w:pStyle w:val="Heading1"/>
      </w:pPr>
      <w:r>
        <w:t xml:space="preserve">Adopta — Digital Adoption Platform Specifications</w:t>
      </w:r>
    </w:p>
    <w:p>
      <w:pPr>
        <w:pStyle w:val="FirstParagraph"/>
      </w:pPr>
      <w:r>
        <w:t xml:space="preserve">Production-grade, multi-tenant SaaS Digital Adoption Platform (DAP) for in-app guidance, AI self-service, product analytics, governance, and closed-loop adoption improvement.</w:t>
      </w:r>
    </w:p>
    <w:p>
      <w:pPr>
        <w:pStyle w:val="BodyText"/>
      </w:pPr>
      <w:r>
        <w:t xml:space="preserve">This pack is the source of truth for the new standalone GitHub repository:</w:t>
      </w:r>
    </w:p>
    <w:p>
      <w:pPr>
        <w:pStyle w:val="SourceCode"/>
      </w:pPr>
      <w:r>
        <w:rPr>
          <w:rStyle w:val="VerbatimChar"/>
        </w:rPr>
        <w:t xml:space="preserve">https://github.com/suhebk/adopta-platform</w:t>
      </w:r>
    </w:p>
    <w:p>
      <w:pPr>
        <w:pStyle w:val="FirstParagraph"/>
      </w:pPr>
      <w:r>
        <w:t xml:space="preserve">The Adopta repository is separate from:</w:t>
      </w:r>
    </w:p>
    <w:p>
      <w:pPr>
        <w:pStyle w:val="SourceCode"/>
      </w:pPr>
      <w:r>
        <w:rPr>
          <w:rStyle w:val="VerbatimChar"/>
        </w:rPr>
        <w:t xml:space="preserve">https://github.com/suhebk/property-income-mtd-platform</w:t>
      </w:r>
    </w:p>
    <w:p>
      <w:pPr>
        <w:pStyle w:val="FirstParagraph"/>
      </w:pPr>
      <w:r>
        <w:t xml:space="preserve">Property Income MTD remains undisturbed while its remaining sprints continue. Adopta will integrate with Property MTD later through a controlled first-party runtime SDK and safe adoption context contract.</w:t>
      </w:r>
    </w:p>
    <w:bookmarkStart w:id="20" w:name="read-order"/>
    <w:p>
      <w:pPr>
        <w:pStyle w:val="Heading2"/>
      </w:pPr>
      <w:r>
        <w:t xml:space="preserve">Read order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Vision &amp; Competitive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direction, competitor benchmark, DAP capability model, differentiation.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Personas, journeys, user requirements, acceptance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and non-functional requirements, traceability, definition of done.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Logical, physical, security, identity, event, AI, analytics, data, DevSecOps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Studio and runtime UX wireframes.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+ Visual Studio Build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prompt for Codex, Visual Studio Code, GitHub, Azure, and .NET-first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Decisions &amp; Spec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that supersede baseline assumptions, including Codex, .NET-first, first-party SDK mode, and maximum five sprints.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Setup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local and GitHub setup steps for the user’s chosen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ADOPTA-SPRINT-1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 scope, acceptance criteria, Codex prompt, and guardrails.</w:t>
            </w:r>
          </w:p>
        </w:tc>
      </w:tr>
    </w:tbl>
    <w:bookmarkEnd w:id="20"/>
    <w:bookmarkStart w:id="21" w:name="important-superseding-decisions"/>
    <w:p>
      <w:pPr>
        <w:pStyle w:val="Heading2"/>
      </w:pPr>
      <w:r>
        <w:t xml:space="preserve">Important superseding decisions</w:t>
      </w:r>
    </w:p>
    <w:p>
      <w:pPr>
        <w:pStyle w:val="FirstParagraph"/>
      </w:pPr>
      <w:r>
        <w:t xml:space="preserve">The baseline research documents are retained because they contain valuable DAP market and architecture analysis. Where older wording conflicts with the latest direction, apply these decisions:</w:t>
      </w:r>
    </w:p>
    <w:p>
      <w:pPr>
        <w:pStyle w:val="Compact"/>
        <w:numPr>
          <w:ilvl w:val="0"/>
          <w:numId w:val="1001"/>
        </w:numPr>
      </w:pPr>
      <w:r>
        <w:t xml:space="preserve">Use Codex + Visual Studio Code, not Claude Code.</w:t>
      </w:r>
    </w:p>
    <w:p>
      <w:pPr>
        <w:pStyle w:val="Compact"/>
        <w:numPr>
          <w:ilvl w:val="0"/>
          <w:numId w:val="1001"/>
        </w:numPr>
      </w:pPr>
      <w:r>
        <w:t xml:space="preserve">Use a standalone</w:t>
      </w:r>
      <w:r>
        <w:t xml:space="preserve"> </w:t>
      </w:r>
      <w:r>
        <w:rPr>
          <w:rStyle w:val="VerbatimChar"/>
        </w:rPr>
        <w:t xml:space="preserve">adopta-platform</w:t>
      </w:r>
      <w:r>
        <w:t xml:space="preserve"> </w:t>
      </w:r>
      <w:r>
        <w:t xml:space="preserve">repository.</w:t>
      </w:r>
    </w:p>
    <w:p>
      <w:pPr>
        <w:pStyle w:val="Compact"/>
        <w:numPr>
          <w:ilvl w:val="0"/>
          <w:numId w:val="1001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property-income-mtd-platform</w:t>
      </w:r>
      <w:r>
        <w:t xml:space="preserve"> </w:t>
      </w:r>
      <w:r>
        <w:t xml:space="preserve">undisturbed until the later controlled integration branch.</w:t>
      </w:r>
    </w:p>
    <w:p>
      <w:pPr>
        <w:pStyle w:val="Compact"/>
        <w:numPr>
          <w:ilvl w:val="0"/>
          <w:numId w:val="1001"/>
        </w:numPr>
      </w:pPr>
      <w:r>
        <w:t xml:space="preserve">Use .NET-first backend/control-plane architecture.</w:t>
      </w:r>
    </w:p>
    <w:p>
      <w:pPr>
        <w:pStyle w:val="Compact"/>
        <w:numPr>
          <w:ilvl w:val="0"/>
          <w:numId w:val="1001"/>
        </w:numPr>
      </w:pPr>
      <w:r>
        <w:t xml:space="preserve">Use TypeScript for the runtime SDK and browser extension.</w:t>
      </w:r>
    </w:p>
    <w:p>
      <w:pPr>
        <w:pStyle w:val="Compact"/>
        <w:numPr>
          <w:ilvl w:val="0"/>
          <w:numId w:val="1001"/>
        </w:numPr>
      </w:pPr>
      <w:r>
        <w:t xml:space="preserve">Use first-party SDK mode for owned applications such as Property MTD.</w:t>
      </w:r>
    </w:p>
    <w:p>
      <w:pPr>
        <w:pStyle w:val="Compact"/>
        <w:numPr>
          <w:ilvl w:val="0"/>
          <w:numId w:val="1001"/>
        </w:numPr>
      </w:pPr>
      <w:r>
        <w:t xml:space="preserve">Use browser extension mode later for third-party applications.</w:t>
      </w:r>
    </w:p>
    <w:p>
      <w:pPr>
        <w:pStyle w:val="Compact"/>
        <w:numPr>
          <w:ilvl w:val="0"/>
          <w:numId w:val="1001"/>
        </w:numPr>
      </w:pPr>
      <w:r>
        <w:t xml:space="preserve">Keep delivery to a maximum of five production-grade sprints.</w:t>
      </w:r>
    </w:p>
    <w:p>
      <w:pPr>
        <w:pStyle w:val="Compact"/>
        <w:numPr>
          <w:ilvl w:val="0"/>
          <w:numId w:val="1001"/>
        </w:numPr>
      </w:pPr>
      <w:r>
        <w:t xml:space="preserve">Use Microsoft Entra ID and Microsoft Entra External ID.</w:t>
      </w:r>
    </w:p>
    <w:p>
      <w:pPr>
        <w:pStyle w:val="Compact"/>
        <w:numPr>
          <w:ilvl w:val="0"/>
          <w:numId w:val="1001"/>
        </w:numPr>
      </w:pPr>
      <w:r>
        <w:t xml:space="preserve">Do not use Azure AD B2C for new greenfield identity.</w:t>
      </w:r>
    </w:p>
    <w:p>
      <w:pPr>
        <w:pStyle w:val="Compact"/>
        <w:numPr>
          <w:ilvl w:val="0"/>
          <w:numId w:val="1001"/>
        </w:numPr>
      </w:pPr>
      <w:r>
        <w:t xml:space="preserve">Do not capture sensitive Property MTD values by default.</w:t>
      </w:r>
    </w:p>
    <w:bookmarkEnd w:id="21"/>
    <w:bookmarkStart w:id="22" w:name="current-sprint"/>
    <w:p>
      <w:pPr>
        <w:pStyle w:val="Heading2"/>
      </w:pPr>
      <w:r>
        <w:t xml:space="preserve">Current sprint</w:t>
      </w:r>
    </w:p>
    <w:p>
      <w:pPr>
        <w:pStyle w:val="FirstParagraph"/>
      </w:pPr>
      <w:r>
        <w:t xml:space="preserve">Current sprint:</w:t>
      </w:r>
      <w:r>
        <w:t xml:space="preserve"> </w:t>
      </w:r>
      <w:r>
        <w:rPr>
          <w:rStyle w:val="VerbatimChar"/>
        </w:rPr>
        <w:t xml:space="preserve">ADOPTA-SPRINT-1 — SaaS Foundation, Security, Tenant Model, RBAC, Audit, and Repository Structure</w:t>
      </w:r>
      <w:r>
        <w:t xml:space="preserve">.</w:t>
      </w:r>
    </w:p>
    <w:p>
      <w:pPr>
        <w:pStyle w:val="BodyText"/>
      </w:pPr>
      <w:r>
        <w:t xml:space="preserve">Codex must plan first, list exact files to add/change, and wait for approval before applying changes.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2026-06-27T16:15:47Z</dcterms:created>
  <dcterms:modified xsi:type="dcterms:W3CDTF">2026-06-27T16:15:47Z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