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Channel Model v2 — Testing and Validation Report</w:t>
      </w:r>
    </w:p>
    <w:p>
      <w:r>
        <w:t>Scope: numerical/physics-consistency and implementation validation for the directional UAV mmWave channel model used in the ABPO experiment.</w:t>
      </w:r>
    </w:p>
    <w:p>
      <w:pPr>
        <w:pStyle w:val="Heading1"/>
      </w:pPr>
      <w:r>
        <w:t>Configuration</w:t>
      </w:r>
    </w:p>
    <w:p>
      <w:r>
        <w:t>Carrier=28.0 GHz; Bandwidth=100.0 MHz; NF=7.0 dB; beamwidth=5.0–60.0 deg; power budget=1.000 W; sidelobe floor=-20.0 dB.</w:t>
      </w:r>
    </w:p>
    <w:p>
      <w:pPr>
        <w:pStyle w:val="Heading1"/>
      </w:pPr>
      <w:r>
        <w:t>Validation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FSPL monotonic with distance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[87.40553272617268, 93.4261326394523, 99.44673255273193, 105.46733246601156]</w:t>
            </w:r>
          </w:p>
        </w:tc>
      </w:tr>
      <w:tr>
        <w:tc>
          <w:tcPr>
            <w:tcW w:type="dxa" w:w="2880"/>
          </w:tcPr>
          <w:p>
            <w:r>
              <w:t>Channel gain decreases with distance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[1.8173841134826242e-09, 4.5434602837065596e-10, 1.1358650709266396e-10, 2.839662677316598e-11]</w:t>
            </w:r>
          </w:p>
        </w:tc>
      </w:tr>
      <w:tr>
        <w:tc>
          <w:tcPr>
            <w:tcW w:type="dxa" w:w="2880"/>
          </w:tcPr>
          <w:p>
            <w:r>
              <w:t>Boresight gain decreases with beamwidth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[72.0, 36.0, 18.0, 9.0, 6.0]</w:t>
            </w:r>
          </w:p>
        </w:tc>
      </w:tr>
      <w:tr>
        <w:tc>
          <w:tcPr>
            <w:tcW w:type="dxa" w:w="2880"/>
          </w:tcPr>
          <w:p>
            <w:r>
              <w:t>Pointing mismatch reduces gain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[36.0, 32.25869352787294, 18.18, 2.5875, 0.36054382324218753]</w:t>
            </w:r>
          </w:p>
        </w:tc>
      </w:tr>
      <w:tr>
        <w:tc>
          <w:tcPr>
            <w:tcW w:type="dxa" w:w="2880"/>
          </w:tcPr>
          <w:p>
            <w:r>
              <w:t>Sidelobe floor enforced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[36.0, 32.25869352787294, 18.18, 2.5875, 0.36054382324218753]</w:t>
            </w:r>
          </w:p>
        </w:tc>
      </w:tr>
      <w:tr>
        <w:tc>
          <w:tcPr>
            <w:tcW w:type="dxa" w:w="2880"/>
          </w:tcPr>
          <w:p>
            <w:r>
              <w:t>Beam-training fraction bounded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[0.982, 0.991, 0.9955, 0.99775, 0.9985]</w:t>
            </w:r>
          </w:p>
        </w:tc>
      </w:tr>
      <w:tr>
        <w:tc>
          <w:tcPr>
            <w:tcW w:type="dxa" w:w="2880"/>
          </w:tcPr>
          <w:p>
            <w:r>
              <w:t>Rate equation finite/non-negative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[402489918.5734418, 415771810.9354002, 409378781.41549116, 421971191.13126636]</w:t>
            </w:r>
          </w:p>
        </w:tc>
      </w:tr>
      <w:tr>
        <w:tc>
          <w:tcPr>
            <w:tcW w:type="dxa" w:w="2880"/>
          </w:tcPr>
          <w:p>
            <w:r>
              <w:t>NSE equation consistency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(16.496117020555996, 16.496117020555996)</w:t>
            </w:r>
          </w:p>
        </w:tc>
      </w:tr>
      <w:tr>
        <w:tc>
          <w:tcPr>
            <w:tcW w:type="dxa" w:w="2880"/>
          </w:tcPr>
          <w:p>
            <w:r>
              <w:t>SINR finite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[15.48512709562544, 17.082376776207138, 16.295120175802293, 17.879994644329166]</w:t>
            </w:r>
          </w:p>
        </w:tc>
      </w:tr>
      <w:tr>
        <w:tc>
          <w:tcPr>
            <w:tcW w:type="dxa" w:w="2880"/>
          </w:tcPr>
          <w:p>
            <w:r>
              <w:t>Per-step total power budget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Per-link minimum power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[0.25, 0.25, 0.25, 0.25]</w:t>
            </w:r>
          </w:p>
        </w:tc>
      </w:tr>
    </w:tbl>
    <w:p>
      <w:pPr>
        <w:pStyle w:val="Heading1"/>
      </w:pPr>
      <w:r>
        <w:t>Interpretation</w:t>
      </w:r>
    </w:p>
    <w:p>
      <w:r>
        <w:t>The tests verify internal numerical consistency: distance/path-loss behavior, directional gain, pointing mismatch, training overhead, finite SINR/rate, NSE consistency, and power feasibility. These tests do not constitute empirical validation against measured 28-GHz propagation.</w:t>
      </w:r>
    </w:p>
    <w:p>
      <w:r>
        <w:drawing>
          <wp:inline xmlns:a="http://schemas.openxmlformats.org/drawingml/2006/main" xmlns:pic="http://schemas.openxmlformats.org/drawingml/2006/picture">
            <wp:extent cx="5669280" cy="3602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A_channel_distance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604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B_beamwidth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611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C_pointing_mismatch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6042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D_training_overhead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42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