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background-color: #f5f5f5;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color: #333;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line-height: 1.6;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 Improved input section styles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.input-section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input[type=number]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width: calc(100% - 20px); /* Full width minus padding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margin: 10px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border: 1px solid #ccc;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border-radius: 4px;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box-sizing: border-box; /* Include padding and border in the width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padding: 10px 20px;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background-color: #007bff; /* Brighter blue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border-radius: 4px;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transition: background-color 0.3s; /* Smooth transition for hover effect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button:hover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background-color: #0056b3; /* Darker blue on hover 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 Enhanced table styles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table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border-collapse: collapse;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margin-top: 20px;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box-shadow: 0 2px 3px #ccc; /* Subtle shadow for depth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th, td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padding: 12px;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text-align: left;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background-color: #007bff; /* Match button color */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border-bottom: 2px solid #0056b3; /* Darker border for header */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/* New header style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thead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background-color: #007bff; /* Blue header */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/* Enhanced column colors */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td.ml-column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background-color: #ffff99; /* Lighter yellow */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td.mg-column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background-color: #ccffcc; /* Soft green */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/* Responsive Design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@media screen and (max-width: 600px)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padding: 10px;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input[type=number], button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width: 100%; /* Full width on small screens */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