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이름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주식 대시보드 프로젝트 초기화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목적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미국, 한국, 기타 주요국 대표지수와 주요 환율을 한 화면에서 조회하는 React/FastAPI 대시보드 초기 구조를 제공한다.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판정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완성 일시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2026-06-04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문서 스타일 결정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개발자용 기능 명세서 성격에 맞춰 compact reference guide 형태로 작성하고, 필수 helper 템플릿의 기본 서식을 적용했다.</w:t>
            </w:r>
          </w:p>
        </w:tc>
      </w:tr>
    </w:tbl>
    <w:p/>
    <w:p>
      <w:pPr>
        <w:spacing w:after="80"/>
      </w:pPr>
      <w:r>
        <w:rPr>
          <w:rFonts w:ascii="맑은 고딕" w:hAnsi="맑은 고딕"/>
        </w:rPr>
        <w:t>이 명세서는 검증을 통과한 구현 결과만 요약한다. 무료 데이터 공급자의 지연이나 심볼 지원 변경 가능성은 한계 항목에 별도로 기록했다.</w:t>
      </w:r>
    </w:p>
    <w:p>
      <w:pPr>
        <w:pStyle w:val="Heading1"/>
      </w:pPr>
      <w:r>
        <w:t>2. 사용 방법</w:t>
      </w:r>
    </w:p>
    <w:p>
      <w:pPr>
        <w:pStyle w:val="Heading2"/>
      </w:pPr>
      <w:r>
        <w:t>실행 스크립트</w:t>
      </w:r>
    </w:p>
    <w:p>
      <w:pPr>
        <w:spacing w:after="80"/>
      </w:pPr>
      <w:r>
        <w:rPr>
          <w:rFonts w:ascii="맑은 고딕" w:hAnsi="맑은 고딕"/>
        </w:rPr>
        <w:t>Windows 환경에서 src 디렉터리의 배치파일을 사용해 백엔드와 프론트엔드를 함께 실행하거나 종료한다. 기본 포트는 백엔드 8000, 프론트엔드 5173이며 환경변수로 변경할 수 있다.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cd src</w:t>
        <w:br/>
        <w:t>start-dashboard.bat</w:t>
        <w:br/>
        <w:br/>
        <w:t>rem 다른 콘솔에서 종료할 때</w:t>
        <w:br/>
        <w:t>stop-dashboard.bat</w:t>
      </w:r>
    </w:p>
    <w:p>
      <w:pPr>
        <w:pStyle w:val="Heading2"/>
      </w:pPr>
      <w:r>
        <w:t>API 엔드포인트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엔드포인트</w:t>
            </w:r>
          </w:p>
        </w:tc>
        <w:tc>
          <w:tcPr>
            <w:tcW w:type="dxa" w:w="2268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파라미터</w:t>
            </w:r>
          </w:p>
        </w:tc>
        <w:tc>
          <w:tcPr>
            <w:tcW w:type="dxa" w:w="2268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반환</w:t>
            </w:r>
          </w:p>
        </w:tc>
        <w:tc>
          <w:tcPr>
            <w:tcW w:type="dxa" w:w="2268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/api/health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status, cacheTtlSeconds, providers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서버 상태와 공급자 설정 상태 확인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/api/markets/summary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generatedAt, cacheTtlSeconds, status, indices, exchangeRates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프론트엔드가 기본 호출하는 통합 대시보드 데이터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/api/markets/indices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generatedAt, cacheTtlSeconds, status, items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대표지수 목록만 반환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/api/markets/exchange-rates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generatedAt, cacheTtlSeconds, status, items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환율 목록만 반환</w:t>
            </w:r>
          </w:p>
        </w:tc>
      </w:tr>
    </w:tbl>
    <w:p/>
    <w:p>
      <w:pPr>
        <w:pStyle w:val="Heading2"/>
      </w:pPr>
      <w:r>
        <w:t>응답 필드</w:t>
      </w:r>
    </w:p>
    <w:p>
      <w:pPr>
        <w:pStyle w:val="ListBullet"/>
      </w:pPr>
      <w:r>
        <w:rPr>
          <w:rFonts w:ascii="맑은 고딕" w:hAnsi="맑은 고딕"/>
          <w:sz w:val="20"/>
        </w:rPr>
        <w:t>각 시장 항목은 id, name, category, region, symbol, value, change, changePercent, currency, asOf, source, status, errorMessage를 포함한다.</w:t>
      </w:r>
    </w:p>
    <w:p>
      <w:pPr>
        <w:pStyle w:val="ListBullet"/>
      </w:pPr>
      <w:r>
        <w:rPr>
          <w:rFonts w:ascii="맑은 고딕" w:hAnsi="맑은 고딕"/>
          <w:sz w:val="20"/>
        </w:rPr>
        <w:t>항목 상태는 ok, stale, unavailable 중 하나이며, 통합 상태는 ok, partial, unavailable 중 하나다.</w:t>
      </w:r>
    </w:p>
    <w:p>
      <w:pPr>
        <w:pStyle w:val="ListBullet"/>
      </w:pPr>
      <w:r>
        <w:rPr>
          <w:rFonts w:ascii="맑은 고딕" w:hAnsi="맑은 고딕"/>
          <w:sz w:val="20"/>
        </w:rPr>
        <w:t>무료 공급자의 실패나 무효값은 전체 응답 실패 대신 개별 항목의 unavailable 또는 stale 상태로 표현한다.</w:t>
      </w:r>
    </w:p>
    <w:p>
      <w:pPr>
        <w:pStyle w:val="Heading2"/>
      </w:pPr>
      <w:r>
        <w:t>호출 예시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Invoke-RestMethod http://127.0.0.1:8000/api/markets/summary | ConvertTo-Json -Depth 5</w:t>
      </w:r>
    </w:p>
    <w:p>
      <w:pPr>
        <w:pStyle w:val="Heading2"/>
      </w:pPr>
      <w:r>
        <w:t>출력 예시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"generatedAt": "2026-06-04T12:00:00Z",</w:t>
        <w:br/>
        <w:t xml:space="preserve">  "cacheTtlSeconds": 30,</w:t>
        <w:br/>
        <w:t xml:space="preserve">  "status": "partial",</w:t>
        <w:br/>
        <w:t xml:space="preserve">  "indices": [</w:t>
        <w:br/>
        <w:t xml:space="preserve">    {</w:t>
        <w:br/>
        <w:t xml:space="preserve">      "id": "sp500",</w:t>
        <w:br/>
        <w:t xml:space="preserve">      "name": "S&amp;P 500",</w:t>
        <w:br/>
        <w:t xml:space="preserve">      "value": 5300.12,</w:t>
        <w:br/>
        <w:t xml:space="preserve">      "changePercent": 0.42,</w:t>
        <w:br/>
        <w:t xml:space="preserve">      "asOf": "2026-06-04T11:59:00Z",</w:t>
        <w:br/>
        <w:t xml:space="preserve">      "source": "Stooq CSV",</w:t>
        <w:br/>
        <w:t xml:space="preserve">      "status": "ok"</w:t>
        <w:br/>
        <w:t xml:space="preserve">    }</w:t>
        <w:br/>
        <w:t xml:space="preserve">  ],</w:t>
        <w:br/>
        <w:t xml:space="preserve">  "exchangeRates": []</w:t>
        <w:br/>
        <w:t>}</w:t>
      </w:r>
    </w:p>
    <w:p>
      <w:pPr>
        <w:pStyle w:val="Heading1"/>
      </w:pPr>
      <w:r>
        <w:t>3. 관련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파일 경로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src/start-dashboard.bat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Windows에서 백엔드와 프론트엔드를 함께 실행하고 PID와 로그를 기록한다.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src/stop-dashboard.bat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PID 파일과 제한된 포트 매칭을 사용해 대시보드 프로세스를 종료한다.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src/backend/requirements.txt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FastAPI 백엔드와 테스트 실행에 필요한 Python 의존성을 정의한다.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src/backend/app/main.py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FastAPI 앱 생성, CORS 설정, 라우터 등록을 담당한다.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src/backend/app/config.py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BACKEND_PORT, CACHE_TTL_SECONDS, CORS_ORIGINS 설정을 로드한다.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src/backend/app/api/routes.py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health, summary, indices, exchange-rates API 라우트를 제공한다.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src/backend/app/models/market.py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시장 항목과 응답 컬렉션의 Pydantic 스키마를 정의한다.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src/backend/app/providers/symbols.py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기본 지수와 환율 심볼 목록을 관리한다.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src/backend/app/providers/stooq.py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Stooq CSV quote 응답을 정규화한다.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src/backend/app/providers/frankfurter.py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Frankfurter 환율 fallback 응답을 정규화한다.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src/backend/app/services/cache.py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TTL 기반 인메모리 캐시를 제공한다.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src/backend/app/services/market_service.py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공급자 호출, fallback, 캐시, 상태 정규화를 통합하는 서비스 레이어다.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src/frontend/package.json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React, Vite, Vitest 실행 스크립트와 의존성을 정의한다.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src/frontend/src/api/markets.ts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프론트엔드의 summary API fetch 함수를 제공한다.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src/frontend/src/hooks/useMarketSummary.ts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초기 로딩, 수동 새로고침, 자동 갱신, 오류 상태를 관리한다.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src/frontend/src/App.tsx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대시보드 화면의 최상위 렌더링을 담당한다.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src/frontend/src/components/DashboardHeader.tsx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새로고침 버튼, 자동 갱신 토글, 기준 시각 정보를 표시한다.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src/frontend/src/components/MarketSection.tsx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시장 카테고리별 섹션을 렌더링한다.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src/frontend/src/components/MarketTable.tsx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시장 데이터 테이블을 렌더링한다.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src/frontend/src/components/StatusBadge.tsx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ok, stale, unavailable 상태 배지를 표시한다.</w:t>
            </w:r>
          </w:p>
        </w:tc>
      </w:tr>
    </w:tbl>
    <w:p/>
    <w:p>
      <w:pPr>
        <w:pStyle w:val="Heading1"/>
      </w:pPr>
      <w:r>
        <w:t>4. 주요 설계 결정</w:t>
      </w:r>
    </w:p>
    <w:p>
      <w:pPr>
        <w:pStyle w:val="Heading2"/>
      </w:pPr>
      <w:r>
        <w:t>구현 접근 방식</w:t>
      </w:r>
    </w:p>
    <w:p>
      <w:pPr>
        <w:spacing w:after="80"/>
      </w:pPr>
      <w:r>
        <w:rPr>
          <w:rFonts w:ascii="맑은 고딕" w:hAnsi="맑은 고딕"/>
        </w:rPr>
        <w:t>백엔드는 라우터, 서비스 레이어, 캐시, 데이터 공급자 어댑터, 모델을 분리했다. 이 구조는 무료 API 실패 처리를 서비스 계층에 집중시키고, 향후 공급자를 교체하거나 보강할 때 변경 범위를 줄인다.</w:t>
      </w:r>
    </w:p>
    <w:p>
      <w:pPr>
        <w:spacing w:after="80"/>
      </w:pPr>
      <w:r>
        <w:rPr>
          <w:rFonts w:ascii="맑은 고딕" w:hAnsi="맑은 고딕"/>
        </w:rPr>
        <w:t>프론트엔드는 React, Vite, TypeScript를 사용하고 React 내장 상태와 커스텀 훅으로 로딩, 갱신, 오류 상태를 관리한다. 대시보드는 대표지수와 환율을 구역별 표로 보여주며 각 항목에 기준 시각, 출처, 상태를 노출한다.</w:t>
      </w:r>
    </w:p>
    <w:p>
      <w:pPr>
        <w:pStyle w:val="Heading2"/>
      </w:pPr>
      <w:r>
        <w:t>채택한 데이터 전략</w:t>
      </w:r>
    </w:p>
    <w:p>
      <w:pPr>
        <w:pStyle w:val="ListBullet"/>
      </w:pPr>
      <w:r>
        <w:rPr>
          <w:rFonts w:ascii="맑은 고딕" w:hAnsi="맑은 고딕"/>
          <w:sz w:val="20"/>
        </w:rPr>
        <w:t>Stooq CSV를 지수와 환율의 우선 무료 공급자로 사용한다.</w:t>
      </w:r>
    </w:p>
    <w:p>
      <w:pPr>
        <w:pStyle w:val="ListBullet"/>
      </w:pPr>
      <w:r>
        <w:rPr>
          <w:rFonts w:ascii="맑은 고딕" w:hAnsi="맑은 고딕"/>
          <w:sz w:val="20"/>
        </w:rPr>
        <w:t>Stooq 환율 데이터가 없을 때 Frankfurter 최신 환율 API를 fallback으로 사용하고 stale 상태로 표시한다.</w:t>
      </w:r>
    </w:p>
    <w:p>
      <w:pPr>
        <w:pStyle w:val="ListBullet"/>
      </w:pPr>
      <w:r>
        <w:rPr>
          <w:rFonts w:ascii="맑은 고딕" w:hAnsi="맑은 고딕"/>
          <w:sz w:val="20"/>
        </w:rPr>
        <w:t>동일 요청의 외부 호출을 줄이기 위해 30초 TTL 인메모리 캐시를 사용한다.</w:t>
      </w:r>
    </w:p>
    <w:p>
      <w:pPr>
        <w:pStyle w:val="ListBullet"/>
      </w:pPr>
      <w:r>
        <w:rPr>
          <w:rFonts w:ascii="맑은 고딕" w:hAnsi="맑은 고딕"/>
          <w:sz w:val="20"/>
        </w:rPr>
        <w:t>외부 공급자 예외는 개별 공급자 단위로 격리하고 빈 결과로 대체해 다른 데이터 처리를 계속한다.</w:t>
      </w:r>
    </w:p>
    <w:p>
      <w:pPr>
        <w:pStyle w:val="Heading2"/>
      </w:pPr>
      <w:r>
        <w:t>검토했지만 채택하지 않은 대안</w:t>
      </w:r>
    </w:p>
    <w:p>
      <w:pPr>
        <w:pStyle w:val="ListBullet"/>
      </w:pPr>
      <w:r>
        <w:rPr>
          <w:rFonts w:ascii="맑은 고딕" w:hAnsi="맑은 고딕"/>
          <w:sz w:val="20"/>
        </w:rPr>
        <w:t>단일 모놀리식 백엔드 파일 구조: 외부 API 실패, 캐시, 라우팅 책임이 섞여 유지보수가 어려워 제외했다.</w:t>
      </w:r>
    </w:p>
    <w:p>
      <w:pPr>
        <w:pStyle w:val="ListBullet"/>
      </w:pPr>
      <w:r>
        <w:rPr>
          <w:rFonts w:ascii="맑은 고딕" w:hAnsi="맑은 고딕"/>
          <w:sz w:val="20"/>
        </w:rPr>
        <w:t>Stooq 단독 사용: 환율 누락 시 대체 경로가 없어 Frankfurter fallback을 병행하기로 했다.</w:t>
      </w:r>
    </w:p>
    <w:p>
      <w:pPr>
        <w:pStyle w:val="Heading2"/>
      </w:pPr>
      <w:r>
        <w:t>위험 구간과 완화 방안</w:t>
      </w:r>
    </w:p>
    <w:p>
      <w:pPr>
        <w:pStyle w:val="ListBullet"/>
      </w:pPr>
      <w:r>
        <w:rPr>
          <w:rFonts w:ascii="맑은 고딕" w:hAnsi="맑은 고딕"/>
          <w:sz w:val="20"/>
        </w:rPr>
        <w:t>포트 충돌과 잘못된 프로세스 종료 위험은 시작 전 netstat 검사, PID 파일 기록, 제한된 명령줄 매칭으로 완화했다.</w:t>
      </w:r>
    </w:p>
    <w:p>
      <w:pPr>
        <w:pStyle w:val="ListBullet"/>
      </w:pPr>
      <w:r>
        <w:rPr>
          <w:rFonts w:ascii="맑은 고딕" w:hAnsi="맑은 고딕"/>
          <w:sz w:val="20"/>
        </w:rPr>
        <w:t>무료 API 장애와 rate limit 위험은 TTL 캐시, stale 캐시 반환, 공급자별 예외 격리로 완화했다.</w:t>
      </w:r>
    </w:p>
    <w:p>
      <w:pPr>
        <w:pStyle w:val="ListBullet"/>
      </w:pPr>
      <w:r>
        <w:rPr>
          <w:rFonts w:ascii="맑은 고딕" w:hAnsi="맑은 고딕"/>
          <w:sz w:val="20"/>
        </w:rPr>
        <w:t>Python, Node, npm 미설치 위험은 시작 스크립트의 사전 명령 검사로 사용자에게 명확한 실패 메시지를 반환하도록 했다.</w:t>
      </w:r>
    </w:p>
    <w:p>
      <w:pPr>
        <w:pStyle w:val="Heading2"/>
      </w:pPr>
      <w:r>
        <w:t>리뷰 반영 결과</w:t>
      </w:r>
    </w:p>
    <w:p>
      <w:pPr>
        <w:pStyle w:val="ListBullet"/>
      </w:pPr>
      <w:r>
        <w:rPr>
          <w:rFonts w:ascii="맑은 고딕" w:hAnsi="맑은 고딕"/>
          <w:sz w:val="20"/>
        </w:rPr>
        <w:t>MAJOR 지적이었던 공급자 통신 장애의 연쇄 실패 가능성은 공급자별 try-except 격리로 수정했다.</w:t>
      </w:r>
    </w:p>
    <w:p>
      <w:pPr>
        <w:pStyle w:val="ListBullet"/>
      </w:pPr>
      <w:r>
        <w:rPr>
          <w:rFonts w:ascii="맑은 고딕" w:hAnsi="맑은 고딕"/>
          <w:sz w:val="20"/>
        </w:rPr>
        <w:t>공급자 HTTP timeout 기본값은 8초에서 4초로 낮춰 응답성을 개선했다.</w:t>
      </w:r>
    </w:p>
    <w:p>
      <w:pPr>
        <w:pStyle w:val="ListBullet"/>
      </w:pPr>
      <w:r>
        <w:rPr>
          <w:rFonts w:ascii="맑은 고딕" w:hAnsi="맑은 고딕"/>
          <w:sz w:val="20"/>
        </w:rPr>
        <w:t>데이터가 없는 항목의 source는 오해를 줄이기 위해 N/A로 표시하도록 변경했다.</w:t>
      </w:r>
    </w:p>
    <w:p>
      <w:pPr>
        <w:pStyle w:val="ListBullet"/>
      </w:pPr>
      <w:r>
        <w:rPr>
          <w:rFonts w:ascii="맑은 고딕" w:hAnsi="맑은 고딕"/>
          <w:sz w:val="20"/>
        </w:rPr>
        <w:t>start-dashboard.bat의 차단 오류 시 pause 추가 제안은 무인 자동 실행을 멈출 수 있어 거부했다.</w:t>
      </w:r>
    </w:p>
    <w:p>
      <w:pPr>
        <w:pStyle w:val="ListBullet"/>
      </w:pPr>
      <w:r>
        <w:rPr>
          <w:rFonts w:ascii="맑은 고딕" w:hAnsi="맑은 고딕"/>
          <w:sz w:val="20"/>
        </w:rPr>
        <w:t>KOSDAQ 또는 KOSPI 200 추가 표시는 Stooq 무료 quote 응답에서 유효하지 않은 값이 확인되어 현재 구현에서는 KOSPI만 채택했다.</w:t>
      </w:r>
    </w:p>
    <w:p>
      <w:pPr>
        <w:pStyle w:val="Heading1"/>
      </w:pPr>
      <w:r>
        <w:t>5. 의존성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영역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라이브러리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fastapi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API 서버와 라우터 구현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uvicorn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ASGI 개발 서버 실행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httpx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Stooq와 Frankfurter에 대한 비동기 HTTP 호출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pydantic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응답 모델과 camelCase 별칭 직렬화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 테스트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pytest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백엔드와 배치파일 스모크 테스트 실행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 테스트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pytest-asyncio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비동기 공급자와 서비스 테스트 실행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react, react-dom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대시보드 UI 렌더링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lucide-react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UI 아이콘 표시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 빌드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vite, typescript, @vitejs/plugin-react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개발 서버, TypeScript 빌드, React 플러그인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 테스트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vitest, jsdom, @testing-library/react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컴포넌트와 훅 단위 테스트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 타입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@types/react, @types/react-dom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TypeScript 타입 지원</w:t>
            </w:r>
          </w:p>
        </w:tc>
      </w:tr>
    </w:tbl>
    <w:p/>
    <w:p>
      <w:pPr>
        <w:pStyle w:val="Heading1"/>
      </w:pPr>
      <w:r>
        <w:t>6. 테스트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테스트 파일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커버 범위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최종 결과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tests/backend/test_stooq_provider.py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Stooq CSV 파싱, 무효값 처리, 변동값 계산, timeout 기본값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tests/backend/test_frankfurter_provider.py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Frankfurter 환율 정규화, 실패 처리, timeout 기본값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tests/backend/test_market_service.py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서비스 캐시, 부분 실패, stale fallback, 공급자 예외 격리, N/A source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tests/backend/test_routes.py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FastAPI health, summary, indices, exchange-rates 라우트 응답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tests/frontend/App.test.tsx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대시보드 로딩, 구역 렌더링, 부분 실패 표시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tests/frontend/useMarketSummary.test.tsx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수동 새로고침, 자동 갱신 토글, 타이머 동작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tests/scripts/test_batch_files.py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start/stop 배치파일 존재, 포트/PID/종료 명령 구조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최종 검증 명령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python -m pytest tests/backend tests/scripts -p no:cacheprovider</w:t>
        <w:br/>
        <w:t>npm.cmd test</w:t>
        <w:br/>
        <w:t>npm.cmd run build</w:t>
      </w:r>
    </w:p>
    <w:p>
      <w:pPr>
        <w:spacing w:after="80"/>
      </w:pPr>
      <w:r>
        <w:rPr>
          <w:rFonts w:ascii="맑은 고딕" w:hAnsi="맑은 고딕"/>
        </w:rPr>
        <w:t>최종 검증 결과는 backend/scripts 15개 통과, frontend 6개 통과, frontend build 성공으로 기록되었다. 추가 테스트 작성은 없었으며, 수정 단계에서 추가된 공급자 예외 격리 테스트가 정상 통과했다.</w:t>
      </w:r>
    </w:p>
    <w:p>
      <w:pPr>
        <w:pStyle w:val="Heading1"/>
      </w:pPr>
      <w:r>
        <w:t>7. 알려진 한계 및 추후 개선</w:t>
      </w:r>
    </w:p>
    <w:p>
      <w:pPr>
        <w:pStyle w:val="ListBullet"/>
      </w:pPr>
      <w:r>
        <w:rPr>
          <w:rFonts w:ascii="맑은 고딕" w:hAnsi="맑은 고딕"/>
          <w:sz w:val="20"/>
        </w:rPr>
        <w:t>Stooq와 Frankfurter는 무료 API이므로 거래소별 지연, 휴장일, 심볼 지원 변경, 일시적 장애가 발생할 수 있다.</w:t>
      </w:r>
    </w:p>
    <w:p>
      <w:pPr>
        <w:pStyle w:val="ListBullet"/>
      </w:pPr>
      <w:r>
        <w:rPr>
          <w:rFonts w:ascii="맑은 고딕" w:hAnsi="맑은 고딕"/>
          <w:sz w:val="20"/>
        </w:rPr>
        <w:t>Frankfurter fallback 환율은 일간 기준 값이므로 전일 대비 변동값을 제공하지 않고 stale 상태로 표시한다.</w:t>
      </w:r>
    </w:p>
    <w:p>
      <w:pPr>
        <w:pStyle w:val="ListBullet"/>
      </w:pPr>
      <w:r>
        <w:rPr>
          <w:rFonts w:ascii="맑은 고딕" w:hAnsi="맑은 고딕"/>
          <w:sz w:val="20"/>
        </w:rPr>
        <w:t>현재 캐시는 프로세스 메모리 기반이라 서버 재시작 시 초기화된다.</w:t>
      </w:r>
    </w:p>
    <w:p>
      <w:pPr>
        <w:pStyle w:val="ListBullet"/>
      </w:pPr>
      <w:r>
        <w:rPr>
          <w:rFonts w:ascii="맑은 고딕" w:hAnsi="맑은 고딕"/>
          <w:sz w:val="20"/>
        </w:rPr>
        <w:t>KOSDAQ 또는 KOSPI 200은 무료 quote 응답이 유효해지면 심볼 목록과 테스트를 보강해 추가할 수 있다.</w:t>
      </w:r>
    </w:p>
    <w:p>
      <w:pPr>
        <w:pStyle w:val="ListBullet"/>
      </w:pPr>
      <w:r>
        <w:rPr>
          <w:rFonts w:ascii="맑은 고딕" w:hAnsi="맑은 고딕"/>
          <w:sz w:val="20"/>
        </w:rPr>
        <w:t>관심종목, 포트폴리오, 주문, 사용자 인증, 유료 API, DB 저장, Docker와 클라우드 배포는 이번 범위에서 제외되었다.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 대시보드 프로젝트 초기화 명세서</dc:title>
  <dc:subject>React와 FastAPI 기반 무료 시장 데이터 대시보드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