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D6F69">
      <w:pPr>
        <w:spacing w:after="120"/>
        <w:jc w:val="left"/>
      </w:pPr>
      <w:r>
        <w:rPr>
          <w:rFonts w:ascii="微软雅黑" w:hAnsi="微软雅黑" w:eastAsia="微软雅黑" w:cs="微软雅黑"/>
          <w:b/>
          <w:color w:val="1F4D78"/>
          <w:sz w:val="44"/>
        </w:rPr>
        <w:t>楠溪智游 楠溪江动态行程决策智能体参赛申报书</w:t>
      </w:r>
    </w:p>
    <w:p w14:paraId="298CB5E1">
      <w:pPr>
        <w:spacing w:after="80"/>
        <w:jc w:val="left"/>
      </w:pPr>
      <w:r>
        <w:rPr>
          <w:rFonts w:ascii="微软雅黑" w:hAnsi="微软雅黑" w:eastAsia="微软雅黑" w:cs="微软雅黑"/>
          <w:b w:val="0"/>
          <w:color w:val="535E69"/>
          <w:sz w:val="24"/>
        </w:rPr>
        <w:t>2026 首届“永嘉农商杯”AI＋OPC 创新创业大赛参赛申报书（赛道一·命题二）</w:t>
      </w:r>
    </w:p>
    <w:p w14:paraId="052DFE8F">
      <w:pPr>
        <w:spacing w:after="200"/>
      </w:pPr>
      <w:r>
        <w:rPr>
          <w:rFonts w:ascii="微软雅黑" w:hAnsi="微软雅黑" w:eastAsia="微软雅黑" w:cs="微软雅黑"/>
          <w:b w:val="0"/>
          <w:color w:val="535E69"/>
          <w:sz w:val="21"/>
        </w:rPr>
        <w:t>版本：2026-09-16｜作品状态：增强版已公开发布｜主创人员：隋东来｜联系电话：13352515351｜邮箱：suidl@163.com</w:t>
      </w:r>
    </w:p>
    <w:p w14:paraId="402A32DD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一、项目概述</w:t>
      </w:r>
    </w:p>
    <w:p w14:paraId="0F7BAAD2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楠溪智游面向楠溪江家庭自由行游客，把“同行人、天数、预算、偏好、步行强度和出行日期”等需求转成可检查的约束，调用天气、景点检索、路线估算、预算核算和行程校验工具，生成逐日、逐站时间轴。途中遇到降雨、闭园等变化时，系统保留已完成的节点，只对当前所选日期的剩余行程重新决策。评委可访问 在线体验版 查看已发布的完整流程，包括 1—5 天行程、页内自然语言重生成与逐日切换。</w:t>
      </w:r>
    </w:p>
    <w:p w14:paraId="23BDE735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 xml:space="preserve">本项目选择赛道一“人工智能体（AI </w:t>
      </w:r>
      <w:bookmarkStart w:id="0" w:name="_GoBack"/>
      <w:bookmarkEnd w:id="0"/>
      <w:r>
        <w:rPr>
          <w:rFonts w:ascii="微软雅黑" w:hAnsi="微软雅黑" w:eastAsia="微软雅黑" w:cs="微软雅黑"/>
          <w:b w:val="0"/>
          <w:color w:val="222A38"/>
          <w:sz w:val="22"/>
        </w:rPr>
        <w:t>Agent）”命题二“AI Agent × 永嘉特色产业”的文旅智能导览方向。赛事说明明确鼓励结合永嘉景区、文化点位和民俗传播，开展旅游资源整合、需求解析、路线规划与定制导览。楠溪智游聚焦其中最可验证的一环：从需求到可执行行程，再到途中变化后的持续决策。</w:t>
      </w:r>
    </w:p>
    <w:p w14:paraId="0DDDBB63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二、问题与目标用户</w:t>
      </w:r>
    </w:p>
    <w:p w14:paraId="32B66AB3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楠溪江山水、古村及人文点位分布较广。自驾和家庭自由行用户在出发前需要同时权衡路程、天气、开放信息、老人儿童体力和总预算；出发后还会遇到天气变化或临时闭园。普通检索或聊天式推荐往往只给景点清单和文字建议，难以把多个约束统一到同一条可执行时间线上，也难以保证发生变化时不改写已经完成的现实。</w:t>
      </w:r>
    </w:p>
    <w:p w14:paraId="659EAC3B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首期目标用户是带老人或儿童的楠溪江自由行游客；第二类潜在用户是希望维护路线、内容和客流引导策略的景区、乡村及文旅运营方。首版不依赖任何企业私有数据或合作资源，避免“没有商家数据就无法演示”的问题。</w:t>
      </w:r>
    </w:p>
    <w:p w14:paraId="6F6A5C16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三、产品方案与业务闭环</w:t>
      </w:r>
    </w:p>
    <w:p w14:paraId="6216152E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用户输入或修改出发地、日期、1—5 天行程天数、人数、偏好、预算与步行强度后，Agent 依次完成六个步骤：约束理解、逐日天气查询、景点筛选、路线估算、预算核算、可执行性检查。结果不是一段不可操作的文案，而是行程驾驶舱：逐站时间、景点说明、地理位置示意、费用拆分、风险提示、数据来源与执行轨迹同屏可见。</w:t>
      </w:r>
    </w:p>
    <w:p w14:paraId="07678AD9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用户选择“情况有变”并触发降雨、闭园、体力下降或预算变化后，系统识别所选日期已完成与未完成节点，保留其他日期及已完成记录，重新选择后续节点并更新路线、时间及预算。页面不提供缺乏实时道路数据支撑的“拥堵重排”入口。用户随后可保存本地状态、导出中文 PDF、生成 ICS 日历或复制脱敏云端分享链接。完整业务闭环为“提出需求 → 查询与规划 → 校验 → 出行使用 → 情况变化 → 局部重排 → 导出分享”。</w:t>
      </w:r>
    </w:p>
    <w:p w14:paraId="637BE310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当前示范场景为从温州南站出发，1 名成人、1 名儿童和 1 名老人同行，预算 1200 元，偏好山水与古村、低步行强度。评委无需登录或准备数据即可操作。</w:t>
      </w:r>
    </w:p>
    <w:p w14:paraId="6A27B92E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四、AI Agent 的自主性与工具链</w:t>
      </w:r>
    </w:p>
    <w:p w14:paraId="53BDCD4E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系统将大模型用于自然语言约束理解，不把时间、预算和安全性判断交给模型“凭感觉”决定。在线版通过 Netlify AI Gateway 调用模型，把非结构化需求映射成受限的结构化字段；服务异常时明确降级为本地规则解析。接下来由确定性工具执行景点检索、路线估算、费用计算和规则校验，形成“模型理解 + 工具执行 + 规则兜底”的组合。工具轨迹展示每一步的输入摘要和结果，便于评委复核。</w:t>
      </w:r>
    </w:p>
    <w:p w14:paraId="0F1B873A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现有工具与职责如下：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5C9708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2E74B5"/>
            <w:vAlign w:val="center"/>
          </w:tcPr>
          <w:p w14:paraId="76F5B22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环节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5C62AC0D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当前实现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61E8FB77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用户可见证据</w:t>
            </w:r>
          </w:p>
        </w:tc>
      </w:tr>
      <w:tr w14:paraId="12BCCF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BD42DE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约束理解</w:t>
            </w:r>
          </w:p>
        </w:tc>
        <w:tc>
          <w:tcPr>
            <w:tcW w:w="3173" w:type="dxa"/>
            <w:vAlign w:val="center"/>
          </w:tcPr>
          <w:p w14:paraId="3BA2FFDE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AI 解析偏好、步行强度等，严格合并到原始请求</w:t>
            </w:r>
          </w:p>
        </w:tc>
        <w:tc>
          <w:tcPr>
            <w:tcW w:w="3173" w:type="dxa"/>
            <w:vAlign w:val="center"/>
          </w:tcPr>
          <w:p w14:paraId="2A1C63F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解析来源与摘要</w:t>
            </w:r>
          </w:p>
        </w:tc>
      </w:tr>
      <w:tr w14:paraId="4EE53B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846384E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天气查询</w:t>
            </w:r>
          </w:p>
        </w:tc>
        <w:tc>
          <w:tcPr>
            <w:tcW w:w="3173" w:type="dxa"/>
            <w:vAlign w:val="center"/>
          </w:tcPr>
          <w:p w14:paraId="12FF2DAB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Open-Meteo 代理；逐日查询，失败时标明演示天气</w:t>
            </w:r>
          </w:p>
        </w:tc>
        <w:tc>
          <w:tcPr>
            <w:tcW w:w="3173" w:type="dxa"/>
            <w:vAlign w:val="center"/>
          </w:tcPr>
          <w:p w14:paraId="1810E703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所选日期天气摘要、降雨风险及来源标记</w:t>
            </w:r>
          </w:p>
        </w:tc>
      </w:tr>
      <w:tr w14:paraId="125B9A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0500C39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景点筛选</w:t>
            </w:r>
          </w:p>
        </w:tc>
        <w:tc>
          <w:tcPr>
            <w:tcW w:w="3173" w:type="dxa"/>
            <w:vAlign w:val="center"/>
          </w:tcPr>
          <w:p w14:paraId="18209B8C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从 27 条本地点位记录按偏好、适宜性筛选</w:t>
            </w:r>
          </w:p>
        </w:tc>
        <w:tc>
          <w:tcPr>
            <w:tcW w:w="3173" w:type="dxa"/>
            <w:vAlign w:val="center"/>
          </w:tcPr>
          <w:p w14:paraId="51D9B2A9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候选数量、站点来源</w:t>
            </w:r>
          </w:p>
        </w:tc>
      </w:tr>
      <w:tr w14:paraId="470A1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105DA53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路线估算</w:t>
            </w:r>
          </w:p>
        </w:tc>
        <w:tc>
          <w:tcPr>
            <w:tcW w:w="3173" w:type="dxa"/>
            <w:vAlign w:val="center"/>
          </w:tcPr>
          <w:p w14:paraId="3DAC86DE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基于点位坐标估算距离与顺序</w:t>
            </w:r>
          </w:p>
        </w:tc>
        <w:tc>
          <w:tcPr>
            <w:tcW w:w="3173" w:type="dxa"/>
            <w:vAlign w:val="center"/>
          </w:tcPr>
          <w:p w14:paraId="2242ADE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地理位置示意、全程预计路程；不冒充道路导航</w:t>
            </w:r>
          </w:p>
        </w:tc>
      </w:tr>
      <w:tr w14:paraId="28F9E1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077D2EC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预算核算</w:t>
            </w:r>
          </w:p>
        </w:tc>
        <w:tc>
          <w:tcPr>
            <w:tcW w:w="3173" w:type="dxa"/>
            <w:vAlign w:val="center"/>
          </w:tcPr>
          <w:p w14:paraId="6145D8DA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按人数、天数和节点成本估算，每日保留最低餐饮额度与预备费用</w:t>
            </w:r>
          </w:p>
        </w:tc>
        <w:tc>
          <w:tcPr>
            <w:tcW w:w="3173" w:type="dxa"/>
            <w:vAlign w:val="center"/>
          </w:tcPr>
          <w:p w14:paraId="0BCBF302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费用拆分、预算差额；明确未含住宿和返程交通</w:t>
            </w:r>
          </w:p>
        </w:tc>
      </w:tr>
      <w:tr w14:paraId="12D1DE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2B7B341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行程校验</w:t>
            </w:r>
          </w:p>
        </w:tc>
        <w:tc>
          <w:tcPr>
            <w:tcW w:w="3173" w:type="dxa"/>
            <w:vAlign w:val="center"/>
          </w:tcPr>
          <w:p w14:paraId="7AD9DF7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检查开放信息、天气、步行强度与预算风险</w:t>
            </w:r>
          </w:p>
        </w:tc>
        <w:tc>
          <w:tcPr>
            <w:tcW w:w="3173" w:type="dxa"/>
            <w:vAlign w:val="center"/>
          </w:tcPr>
          <w:p w14:paraId="12B68CA5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明确警示与出发前复核提示</w:t>
            </w:r>
          </w:p>
        </w:tc>
      </w:tr>
      <w:tr w14:paraId="6CC93D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BC537F5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局部重排</w:t>
            </w:r>
          </w:p>
        </w:tc>
        <w:tc>
          <w:tcPr>
            <w:tcW w:w="3173" w:type="dxa"/>
            <w:vAlign w:val="center"/>
          </w:tcPr>
          <w:p w14:paraId="6B41929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锁定已完成节点，仅替换剩余安排</w:t>
            </w:r>
          </w:p>
        </w:tc>
        <w:tc>
          <w:tcPr>
            <w:tcW w:w="3173" w:type="dxa"/>
            <w:vAlign w:val="center"/>
          </w:tcPr>
          <w:p w14:paraId="01787161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变更摘要、保留标识、新路线与预算</w:t>
            </w:r>
          </w:p>
        </w:tc>
      </w:tr>
    </w:tbl>
    <w:p w14:paraId="13FA1532">
      <w:pPr>
        <w:spacing w:after="40"/>
      </w:pPr>
    </w:p>
    <w:p w14:paraId="505FFB35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大模型调用仅发生在需要解释用户表达的入口；可由规则完成的计算与约束验证不重复调用模型。这降低运行成本，也使结果更可解释。执行轨迹展示各阶段结果，不展示未经实际计量的耗时。</w:t>
      </w:r>
    </w:p>
    <w:p w14:paraId="50C991A1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五、永嘉特色与差异化</w:t>
      </w:r>
    </w:p>
    <w:p w14:paraId="087A7881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首版整理了 27 条永嘉相关点位数据，覆盖山水、古村、文化、美食、交通等类型，每条记录配置来源地址及资料日期。这里的来源标记用于便于复核，不代表票价、营业时间已经获得景区实时授权；存在不确定性的字段会要求游客出发前再次核实。</w:t>
      </w:r>
    </w:p>
    <w:p w14:paraId="02FA71F6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与通用旅游问答相比，楠溪智游的差异并非“更会写推荐词”，而是能把永嘉文旅点位、家庭出行约束与动态事件连接成同一条业务链。典型例子是午后阵雨：已到过的太平岩不会被重新安排，后续户外点位被替换为适合雨天的文化或古村体验，费用和路线同步改变。这一“已发生节点不可改写”的约束适用于县域景区串联、乡村游和民宿周边路线等场景，具有可复制性。</w:t>
      </w:r>
    </w:p>
    <w:p w14:paraId="1635A301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六、用户体验与成果形态</w:t>
      </w:r>
    </w:p>
    <w:p w14:paraId="4AC89EF9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产品采用浏览器访问，不要求安装 App。创建页预填评委场景，可直接开始；本地增强版还允许选择 1—5 天，或在驾驶舱输入“双人五日游、预算 6000”等需求并在当前页重生成，结果显示实际新增、移除的节点及逐日安排。驾驶舱汇总路线、时间轴、预算和工具轨迹；发生变化时，用户通过明确的事件入口操作，结果标示保留节点与替换节点。页面已在桌面视口和 390×844 手机浏览器视口检查，手机页面无横向溢出；尚未在实体手机设备进行验证。</w:t>
      </w:r>
    </w:p>
    <w:p w14:paraId="637C74A6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可交付成果包括公网 Web 应用、可编辑项目材料、演示截图、中文 PDF 行程样例、ICS 日历样例，以及可复现的测试脚本。导出的示例行程仅为演示，不代表真实预订或票价承诺。</w:t>
      </w:r>
    </w:p>
    <w:p w14:paraId="46729203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七、技术实现与验证</w:t>
      </w:r>
    </w:p>
    <w:p w14:paraId="275511B4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前端为 React + TypeScript；服务端使用 Netlify Functions；分享数据使用 Netlify Blobs；天气由 Open-Meteo 提供；约束理解由 Netlify AI Gateway 调用模型。项目采用前后端分层，天气、AI、分享接口不可用时均有明确异常或降级处理。分享仅保存必要的行程信息，并过滤不应公开的敏感字段。</w:t>
      </w:r>
    </w:p>
    <w:p w14:paraId="1C558A2C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截至 2026 年 9 月 16 日，本地增强版 49 条单元/组件测试全部通过（15 个测试文件），TypeScript/Vite 与 Netlify Functions 构建通过；Playwright 浏览器流程覆盖本地完整演示（生成、重排、导出）与公网冒烟（生成、实时天气、云端分享）。增强版已部署到公网，在线地址可验证 AI 约束解析、1—5 天行程、页内自然语言重生成、逐日天气、导出与分享。这些数字是开发验证结果，不是用户规模或商业成效。</w:t>
      </w:r>
    </w:p>
    <w:p w14:paraId="4F07512F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八、OPC 轻量创业模式与商业化路径</w:t>
      </w:r>
    </w:p>
    <w:p w14:paraId="43EF9CB3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项目适合“个人主创 + AI 辅助研发 + 云服务”的轻量起步方式：首版基于公开资料建立点位库，以自动化测试和云部署降低原型验证成本，不以线下渠道或企业数据接入作为成立前提。AI 在需求解析、开发辅助和材料生产中提高效率，但路线计算、校验逻辑和输出责任仍由主创人员控制。</w:t>
      </w:r>
    </w:p>
    <w:p w14:paraId="0C768C5F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短期采用游客免费体验，验证生成完成率、重排使用率、导出率和问题反馈；中期面向景区、乡村运营方提供经授权的内容维护、路线配置和客流引导后台；长期在确保推荐透明、不影响安全约束的前提下探索 SaaS 服务费或合规导览合作。本计划为商业假设，尚无付费客户、签约伙伴或收入，申报材料不作相反暗示。</w:t>
      </w:r>
    </w:p>
    <w:p w14:paraId="7134BA78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九、实施计划与评价指标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7154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2E74B5"/>
            <w:vAlign w:val="center"/>
          </w:tcPr>
          <w:p w14:paraId="2E7E15A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6A8D4B8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计划工作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5FDE9465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判定标准</w:t>
            </w:r>
          </w:p>
        </w:tc>
      </w:tr>
      <w:tr w14:paraId="083C3B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302F2D3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赛前至 2026-09-30</w:t>
            </w:r>
          </w:p>
        </w:tc>
        <w:tc>
          <w:tcPr>
            <w:tcW w:w="3173" w:type="dxa"/>
            <w:vAlign w:val="center"/>
          </w:tcPr>
          <w:p w14:paraId="3F81661D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稳定在线演示、核对点位字段、完成参赛视频与材料</w:t>
            </w:r>
          </w:p>
        </w:tc>
        <w:tc>
          <w:tcPr>
            <w:tcW w:w="3173" w:type="dxa"/>
            <w:vAlign w:val="center"/>
          </w:tcPr>
          <w:p w14:paraId="6E6DD1B5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可连续完成生成、重排、导出；材料和演示一致</w:t>
            </w:r>
          </w:p>
        </w:tc>
      </w:tr>
      <w:tr w14:paraId="05F43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63F2D094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赛后 0—3 个月</w:t>
            </w:r>
          </w:p>
        </w:tc>
        <w:tc>
          <w:tcPr>
            <w:tcW w:w="3173" w:type="dxa"/>
            <w:vAlign w:val="center"/>
          </w:tcPr>
          <w:p w14:paraId="6ABF9204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小范围真实游客测试，补全时间与路况数据</w:t>
            </w:r>
          </w:p>
        </w:tc>
        <w:tc>
          <w:tcPr>
            <w:tcW w:w="3173" w:type="dxa"/>
            <w:vAlign w:val="center"/>
          </w:tcPr>
          <w:p w14:paraId="06C139F4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收集可复盘反馈；减少不可执行节点</w:t>
            </w:r>
          </w:p>
        </w:tc>
      </w:tr>
      <w:tr w14:paraId="6A5D3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772C03E4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3—6 个月</w:t>
            </w:r>
          </w:p>
        </w:tc>
        <w:tc>
          <w:tcPr>
            <w:tcW w:w="3173" w:type="dxa"/>
            <w:vAlign w:val="center"/>
          </w:tcPr>
          <w:p w14:paraId="536A2BEC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建立内容维护与授权接入流程</w:t>
            </w:r>
          </w:p>
        </w:tc>
        <w:tc>
          <w:tcPr>
            <w:tcW w:w="3173" w:type="dxa"/>
            <w:vAlign w:val="center"/>
          </w:tcPr>
          <w:p w14:paraId="5AEEE480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点位更新可追踪；来源与审核责任明确</w:t>
            </w:r>
          </w:p>
        </w:tc>
      </w:tr>
      <w:tr w14:paraId="77F4DF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3FF7851B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6—12 个月</w:t>
            </w:r>
          </w:p>
        </w:tc>
        <w:tc>
          <w:tcPr>
            <w:tcW w:w="3173" w:type="dxa"/>
            <w:vAlign w:val="center"/>
          </w:tcPr>
          <w:p w14:paraId="7AA5BAB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探索景区/乡村运营后台、住宿与道路数据接入，完善多日路线</w:t>
            </w:r>
          </w:p>
        </w:tc>
        <w:tc>
          <w:tcPr>
            <w:tcW w:w="3173" w:type="dxa"/>
            <w:vAlign w:val="center"/>
          </w:tcPr>
          <w:p w14:paraId="4218A273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有真实试点与可量化使用数据后再评估商业转化</w:t>
            </w:r>
          </w:p>
        </w:tc>
      </w:tr>
    </w:tbl>
    <w:p w14:paraId="51297107">
      <w:pPr>
        <w:spacing w:after="40"/>
      </w:pPr>
    </w:p>
    <w:p w14:paraId="2BF6AE14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首期产品评价指标包括：行程生成成功率、预算超限提示率、开放信息复核提示覆盖率、局部重排完成率、导出成功率、游客主观可用性。商业指标须以未来真实试点数据为准，不在本申报书中虚构预测值。</w:t>
      </w:r>
    </w:p>
    <w:p w14:paraId="4B2FA5F9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十、数据、合规与风险边界</w:t>
      </w:r>
    </w:p>
    <w:p w14:paraId="1D072376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1. 点位资料来自公开来源，引用链接和资料日期随数据保留；涉及价格、开放时间等变动信息均提示复核。</w:t>
      </w:r>
    </w:p>
    <w:p w14:paraId="0BEA1555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2. 现阶段路线距离基于坐标估算，不是实时驾车导航；导航入口跳转第三方地图搜索，实时路况和到达时间以地图为准。</w:t>
      </w:r>
    </w:p>
    <w:p w14:paraId="19321FA5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3. 当前没有支付、订票、房态或交易接口，不以推荐结果冒充库存与最终价格。</w:t>
      </w:r>
    </w:p>
    <w:p w14:paraId="5B81F410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4. 天气和模型不可用时显式标记降级；演示情境与真实天气严格区分。</w:t>
      </w:r>
    </w:p>
    <w:p w14:paraId="200DAAE2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5. 云端分享执行脱敏；正式面向公众扩大使用前，需进一步完成数据保留期限、删除机制和安全审查。</w:t>
      </w:r>
    </w:p>
    <w:p w14:paraId="24986375">
      <w:pPr>
        <w:spacing w:after="60" w:line="324" w:lineRule="auto"/>
        <w:ind w:left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6. 所有商业推荐须明显标识，不得覆盖天气、体力、预算与开放风险校验。</w:t>
      </w:r>
    </w:p>
    <w:p w14:paraId="6D7E67F2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十一、赛事评分项对应说明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3"/>
        <w:gridCol w:w="3173"/>
        <w:gridCol w:w="3173"/>
      </w:tblGrid>
      <w:tr w14:paraId="38F49A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shd w:val="clear" w:color="auto" w:fill="2E74B5"/>
            <w:vAlign w:val="center"/>
          </w:tcPr>
          <w:p w14:paraId="073B9B59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赛道一评分维度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0A0D31FE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权重</w:t>
            </w:r>
          </w:p>
        </w:tc>
        <w:tc>
          <w:tcPr>
            <w:tcW w:w="3173" w:type="dxa"/>
            <w:shd w:val="clear" w:color="auto" w:fill="2E74B5"/>
            <w:vAlign w:val="center"/>
          </w:tcPr>
          <w:p w14:paraId="22622CE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1"/>
              </w:rPr>
              <w:t>本作品可核查的对应内容</w:t>
            </w:r>
          </w:p>
        </w:tc>
      </w:tr>
      <w:tr w14:paraId="3D142C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076387C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智能体设计合理性</w:t>
            </w:r>
          </w:p>
        </w:tc>
        <w:tc>
          <w:tcPr>
            <w:tcW w:w="3173" w:type="dxa"/>
            <w:vAlign w:val="center"/>
          </w:tcPr>
          <w:p w14:paraId="6C526F81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25%</w:t>
            </w:r>
          </w:p>
        </w:tc>
        <w:tc>
          <w:tcPr>
            <w:tcW w:w="3173" w:type="dxa"/>
            <w:vAlign w:val="center"/>
          </w:tcPr>
          <w:p w14:paraId="5425367C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结构化约束、工具链、局部重排、AI 调用边界与降级策略</w:t>
            </w:r>
          </w:p>
        </w:tc>
      </w:tr>
      <w:tr w14:paraId="42479A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1900A68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多模态交互质量</w:t>
            </w:r>
          </w:p>
        </w:tc>
        <w:tc>
          <w:tcPr>
            <w:tcW w:w="3173" w:type="dxa"/>
            <w:vAlign w:val="center"/>
          </w:tcPr>
          <w:p w14:paraId="2DA58212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25%</w:t>
            </w:r>
          </w:p>
        </w:tc>
        <w:tc>
          <w:tcPr>
            <w:tcW w:w="3173" w:type="dxa"/>
            <w:vAlign w:val="center"/>
          </w:tcPr>
          <w:p w14:paraId="64CAD194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行程驾驶舱、路线/时间/预算/轨迹同屏、PDF 与日历导出、完整在线演示</w:t>
            </w:r>
          </w:p>
        </w:tc>
      </w:tr>
      <w:tr w14:paraId="5684DF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2CA21F0A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地域适配性与实用性</w:t>
            </w:r>
          </w:p>
        </w:tc>
        <w:tc>
          <w:tcPr>
            <w:tcW w:w="3173" w:type="dxa"/>
            <w:vAlign w:val="center"/>
          </w:tcPr>
          <w:p w14:paraId="52A52240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20%</w:t>
            </w:r>
          </w:p>
        </w:tc>
        <w:tc>
          <w:tcPr>
            <w:tcW w:w="3173" w:type="dxa"/>
            <w:vAlign w:val="center"/>
          </w:tcPr>
          <w:p w14:paraId="1130A78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27 条永嘉点位、家庭游约束、楠溪江动态导览闭环</w:t>
            </w:r>
          </w:p>
        </w:tc>
      </w:tr>
      <w:tr w14:paraId="7B15BA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599D1CEF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用户体验</w:t>
            </w:r>
          </w:p>
        </w:tc>
        <w:tc>
          <w:tcPr>
            <w:tcW w:w="3173" w:type="dxa"/>
            <w:vAlign w:val="center"/>
          </w:tcPr>
          <w:p w14:paraId="27EFE84E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15%</w:t>
            </w:r>
          </w:p>
        </w:tc>
        <w:tc>
          <w:tcPr>
            <w:tcW w:w="3173" w:type="dxa"/>
            <w:vAlign w:val="center"/>
          </w:tcPr>
          <w:p w14:paraId="12F5550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预填场景、一键生成、事件重排、异常提示、移动端适配</w:t>
            </w:r>
          </w:p>
        </w:tc>
      </w:tr>
      <w:tr w14:paraId="7EBAEB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73" w:type="dxa"/>
            <w:vAlign w:val="center"/>
          </w:tcPr>
          <w:p w14:paraId="4CC58560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创新性</w:t>
            </w:r>
          </w:p>
        </w:tc>
        <w:tc>
          <w:tcPr>
            <w:tcW w:w="3173" w:type="dxa"/>
            <w:vAlign w:val="center"/>
          </w:tcPr>
          <w:p w14:paraId="689ACDF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15%</w:t>
            </w:r>
          </w:p>
        </w:tc>
        <w:tc>
          <w:tcPr>
            <w:tcW w:w="3173" w:type="dxa"/>
            <w:vAlign w:val="center"/>
          </w:tcPr>
          <w:p w14:paraId="686996D8">
            <w:pPr>
              <w:spacing w:after="40" w:line="240" w:lineRule="auto"/>
            </w:pPr>
            <w:r>
              <w:rPr>
                <w:rFonts w:ascii="微软雅黑" w:hAnsi="微软雅黑" w:eastAsia="微软雅黑" w:cs="微软雅黑"/>
                <w:b w:val="0"/>
                <w:color w:val="222A38"/>
                <w:sz w:val="21"/>
              </w:rPr>
              <w:t>已完成节点锁定、未来节点局部重排、模型与确定性工具分工</w:t>
            </w:r>
          </w:p>
        </w:tc>
      </w:tr>
    </w:tbl>
    <w:p w14:paraId="37D2A43D">
      <w:pPr>
        <w:spacing w:after="40"/>
      </w:pPr>
    </w:p>
    <w:p w14:paraId="562C3C17">
      <w:pPr>
        <w:pBdr>
          <w:bottom w:val="single" w:color="2E74B5" w:sz="6" w:space="2"/>
        </w:pBdr>
        <w:spacing w:before="280" w:after="120"/>
      </w:pPr>
      <w:r>
        <w:rPr>
          <w:rFonts w:ascii="微软雅黑" w:hAnsi="微软雅黑" w:eastAsia="微软雅黑" w:cs="微软雅黑"/>
          <w:b/>
          <w:color w:val="2E74B5"/>
          <w:sz w:val="28"/>
        </w:rPr>
        <w:t>十二、演示与附件</w:t>
      </w:r>
    </w:p>
    <w:p w14:paraId="5FA78644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在线体验：https://naxi-travel-ai.netlify.app</w:t>
      </w:r>
    </w:p>
    <w:p w14:paraId="4B21C2CE">
      <w:pPr>
        <w:spacing w:after="120" w:line="336" w:lineRule="auto"/>
        <w:ind w:firstLine="420"/>
      </w:pPr>
      <w:r>
        <w:rPr>
          <w:rFonts w:ascii="微软雅黑" w:hAnsi="微软雅黑" w:eastAsia="微软雅黑" w:cs="微软雅黑"/>
          <w:b w:val="0"/>
          <w:color w:val="222A38"/>
          <w:sz w:val="22"/>
        </w:rPr>
        <w:t>建议随申报材料附上：3 分钟演示视频、路演 PPT、关键页面截图、示例 PDF 行程和 ICS 日历文件。现有 3 分钟视频以一日游完整流程为主线展示 Agent 六步闭环、局部重排与导出；多日游与页内重生成能力以在线产品实际操作为准。</w:t>
      </w:r>
    </w:p>
    <w:sectPr>
      <w:pgSz w:w="12240" w:h="15840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宋体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1A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37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7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8">
    <w:name w:val="Header Char"/>
    <w:basedOn w:val="132"/>
    <w:link w:val="25"/>
    <w:uiPriority w:val="99"/>
  </w:style>
  <w:style w:type="character" w:customStyle="1" w:styleId="139">
    <w:name w:val="Footer Char"/>
    <w:basedOn w:val="132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3739</Words>
  <Characters>4121</Characters>
  <Lines>0</Lines>
  <Paragraphs>0</Paragraphs>
  <TotalTime>0</TotalTime>
  <ScaleCrop>false</ScaleCrop>
  <LinksUpToDate>false</LinksUpToDate>
  <CharactersWithSpaces>4254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Scorpio</cp:lastModifiedBy>
  <dcterms:modified xsi:type="dcterms:W3CDTF">2026-09-16T08:23:26Z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eyJoZGlkIjoiMDY0NzFkODFlYmE4NWM0N2JiMWEzMDVhMTJiY2Y2OGMiLCJ1c2VySWQiOiIzNjA3Mjg4MjgifQ==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20CE253818384773BBABCC57FD4E4073_12</vt:lpwstr>
  </property>
</Properties>
</file>