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清空」）：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支持搜索：输入门店名或城市名后回车；也可按「省 → 市 → 门店」逐级勾选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（1×一星评价数 + 2×二星 + 3×三星 + 4×四星 + 5×五星）÷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同上公式，统计的是包装评价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总下单顾客数；与同市 &amp; 饮品品类的商家排名比较计分，每个名次区间依次递减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每万单中涉及食品安全问题的加权负反馈订单量：（各渠道各场景反馈订单量 × 对应渠道权重 × 对应场景权重）的总和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上面那个比值本身，越高越好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每万单中收到加权负向反馈的订单量：(各渠道反馈订单量 × 对应权重) 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上面那个复购率本身，越高越好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T-31）复购率，当前超过 78.13% 的南平 &amp; 饮品品类 &amp; 客单价 (15-25] 商户；复购率越高，得分越高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看板现在的做法：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——所以两期文件都在时，门店、城市、区域的分类分也都有环比。缺上一期数据时（例如最早那一期）才显示「—」。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请输入门店名称”就代表全选）；②「指标」是不是勾了某些门店没有的指标——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