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清空」）：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支持搜索：输入门店名或城市名后回车；也可按「省 → 市 → 门店」逐级勾选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：总评分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，或商责取消率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。只标这一格，方便一眼扫到问题门店。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（1×一星评价数 + 2×二星 + 3×三星 + 4×四星 + 5×五星）÷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同上公式，统计的是包装评价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总下单顾客数；与同市 &amp; 饮品品类的商家排名比较计分，每个名次区间依次递减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每万单中涉及食品安全问题的加权负反馈订单量：（各渠道各场景反馈订单量 × 对应渠道权重 × 对应场景权重）的总和 ÷ 总订单量 × 10000；再按同市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上面那个比值本身，越高越好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每万单中收到加权负向反馈的订单量：(各渠道反馈订单量 × 对应权重) 的总和 ÷ 总订单量 × 10000；再按同市 &amp; 饮品品类排名计分（0.1 分递减）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上面那个复购率本身，越高越好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T-31）复购率，当前超过 78.13% 的南平 &amp; 饮品品类 &amp; 客单价 (15-25] 商户；复购率越高，得分越高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月份；「上一周期」自动取上一期的区间。所以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Netlify 会自动重新构建，几分钟内线上链接就是新数据（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。最常见的两种情况：① 闪购</w:t>
      </w:r>
      <w:r>
        <w:rPr>
          <w:rFonts w:ascii="Calibri" w:hAnsi="Calibri" w:eastAsia="微软雅黑" w:cs="Calibri" w:hint="eastAsia"/>
          <w:b/>
          <w:color w:val="1A1A1A"/>
          <w:sz w:val="22"/>
        </w:rPr>
        <w:t>没有上期数据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，所以闪购的环比基本都是「—」，这是平台还没给上期值，不是看板出错；② 某家门店在两个平台不都有数据（例如只上了闪购没上美团）。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Q：为什么「商品质量分」「服务体验分」的环比也是「—」？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门店维度的数据只提供二级指标的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值，没有上期，所以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门店级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的这两个分类分算不出环比。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督导表现表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有上期数据，能看到变化；区域总览的 KPI 卡里只有评分、商责取消率带环比。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请输入门店名称”就代表全选）；②「指标」是不是勾了某些门店没有的指标——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Netlify 自动构建；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