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知库 RAG 产品需求文档</w:t>
      </w:r>
    </w:p>
    <w:p>
      <w:pPr>
        <w:pStyle w:val="Subtitle"/>
      </w:pPr>
      <w:r>
        <w:rPr>
          <w:color w:val="000000"/>
        </w:rPr>
        <w:t>完善版 v0.3   2026 年 10 月 13 日   UTC+8</w:t>
      </w:r>
    </w:p>
    <w:p>
      <w:r>
        <w:t>本产品将企业授权文档转为可问答的知识服务。员工应能得到有证据支持的答案，并回到原文核对；知识库运营人员应能定位检索与回答问题，形成可复查的改进记录。本文用于产品、设计、研发和测试共同确定首版边界与验收标准。</w:t>
      </w:r>
    </w:p>
    <w:p>
      <w:pPr>
        <w:pStyle w:val="Heading2"/>
      </w:pPr>
      <w:r>
        <w:rPr>
          <w:color w:val="000000"/>
        </w:rPr>
        <w:t>本版建议</w:t>
      </w:r>
    </w:p>
    <w:p>
      <w:r>
        <w:t>首版建议先验证一个窄场景：员工查询当前适用的公开人事制度。该场景尚待确认，不视为用户已经选定。采用单企业、知识库级权限隔离，先打通“负责人确认并发布资料 → 员工问答 → 核对证据与适用条件 → 人工兜底 → 反馈回归”。模型服务、检索优化与开放集成均服务于这一闭环。</w:t>
      </w:r>
    </w:p>
    <w:p>
      <w:r>
        <w:t>三周作为有前提的试点计划：基础权限、样本文档、标注问题、可用模型与环境必须先就绪。完整 API Key 控制台、生产级嵌入接入、Webhook、OCR 和 Elasticsearch 建议进入第二阶段。</w:t>
      </w:r>
    </w:p>
    <w:p>
      <w:pPr>
        <w:pStyle w:val="Heading2"/>
      </w:pPr>
      <w:r>
        <w:rPr>
          <w:color w:val="000000"/>
        </w:rPr>
        <w:t>需求状态与使用方式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438"/>
        <w:gridCol w:w="5783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本版使用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原始目标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保留用户提出的产品目标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文档处理、RAG 问答、六阶段调试、评测、反馈、权限与集成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设计已见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Figma 画面可见内容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仅表示控件或页面存在，不表示交互或后端已实现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建议基线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本版给出的范围与实现约束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评审通过后转为研发和测试输入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需要负责人决定或真实测试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阈值、保留期、模型、预算、容量与集成范围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本版修订重点</w:t>
      </w:r>
    </w:p>
    <w:p>
      <w:r>
        <w:t>v0.3 补充五项：试点场景与业务结果；索引就绪和制度生效分离；引用完整性与语义支撑分层；历史答案和模型上下文的撤权处理；与切块参数无关的评测真值。具体改动与待决项见第 21 章。</w:t>
      </w:r>
    </w:p>
    <w:p>
      <w:pPr>
        <w:pStyle w:val="Heading2"/>
      </w:pPr>
      <w:r>
        <w:rPr>
          <w:color w:val="000000"/>
        </w:rPr>
        <w:t>评审先决定的事项</w:t>
      </w:r>
    </w:p>
    <w:p>
      <w:pPr>
        <w:pStyle w:val="ListBullet"/>
      </w:pPr>
      <w:r>
        <w:t>确认首版是否采用单企业和知识库级授权，以及三种角色的最终名称与职责。</w:t>
      </w:r>
    </w:p>
    <w:p>
      <w:pPr>
        <w:pStyle w:val="ListBullet"/>
      </w:pPr>
      <w:r>
        <w:t>确认首批文档类型、允许发送给模型服务的数据级别，以及模型与预算上限。</w:t>
      </w:r>
    </w:p>
    <w:p>
      <w:pPr>
        <w:pStyle w:val="ListBullet"/>
      </w:pPr>
      <w:r>
        <w:t>确认质量和性能目标、历史与审计保留期，以及 Widget 是否仅做受控演示。</w:t>
      </w:r>
    </w:p>
    <w:p>
      <w:r>
        <w:t>本文的数值目标均为建议验收线，尚不代表已实测结果。功能范围调整需记录原因、负责人和版本；安全要求不得以时间紧为由跳过。</w:t>
      </w:r>
    </w:p>
    <w:p>
      <w:pPr>
        <w:pStyle w:val="Heading1"/>
        <w:pageBreakBefore/>
      </w:pPr>
      <w:r>
        <w:rPr>
          <w:color w:val="000000"/>
        </w:rPr>
        <w:t>02  试点场景与版本范围</w:t>
      </w:r>
    </w:p>
    <w:p>
      <w:pPr>
        <w:pStyle w:val="Heading2"/>
      </w:pPr>
      <w:r>
        <w:rPr>
          <w:color w:val="000000"/>
        </w:rPr>
        <w:t>拟议试点场景</w:t>
      </w:r>
    </w:p>
    <w:p>
      <w:r>
        <w:t>建议候选为“员工查当前适用的人事制度”，只覆盖请假申请、考勤更正、出差申请等公开流程说明。最终主题须由产品负责人和业务负责人确认；若改选其他场景，保留本文的有效期、受众、人工兜底与评测规则，不据此扩大为通用制度管理平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建议试点约定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资料负责人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由业务方指定一名制度负责人，负责确认权威版本、适用对象、生效时间、例外与替代关系；知识库运营执行整理与发布。可同人兼任，责任需留名。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试点用户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选择目标受众内有代表性的少量员工，覆盖新/老员工与不同适用部门。名单、人数和试点周期待确认；不以技术团队自测代替真实员工试用。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纳入资料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10–20份已授权、已确认效力的公开流程资料；一个知识库内的全部内容应面向同一允许受众。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排除内容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工资表、个人薪资、绩效、健康/请假原因、个案人事处置及个人争议。复杂个体判断交业务负责人，员工公共知识库不得混入这些材料。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代表性问题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“当前请假流程和提前多久申请”“试用期是否适用”“某部门出差由谁审批”“下月新规现在能用吗”“两份规定不一致怎么办”。这些是测试问题，不预设答案。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人工兜底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证据不足、适用对象不明、规则冲突或个案判断时，给出经确认的负责人/服务渠道与缺失信息；首版不自动发消息或创建工单。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业务成效与测量</w:t>
      </w:r>
    </w:p>
    <w:p>
      <w:r>
        <w:t>先测原有查找方式，再用同一组任务进行试点。查询完成时间从员工开始提问到确认找到可用答案并完成证据核对，包含澄清轮次；分别报成功任务的中位数/P95、失败与放弃数，不把首 token 延迟当完成时间。业务负责人或试点用户确认是否真正解决任务。</w:t>
      </w:r>
    </w:p>
    <w:p>
      <w:r>
        <w:t>人工转交率 = 建议人工处理的任务数 / 全部任务数；另报实际转交数、响应时间、最终解决率和转交原因。没有系统工单时由试点表人工记录，不假装自动可观测。先建立基线，再确认改善目标；不能把转交越少机械地当作越好，必要转交应保留。</w:t>
      </w:r>
    </w:p>
    <w:p>
      <w:pPr>
        <w:pStyle w:val="Heading2"/>
      </w:pPr>
      <w:r>
        <w:rPr>
          <w:color w:val="000000"/>
        </w:rPr>
        <w:t>版本范围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252"/>
        <w:gridCol w:w="4195"/>
      </w:tblGrid>
      <w:tr>
        <w:trPr>
          <w:tblHeader/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第一阶段建议必须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第二阶段或条件项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文档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TXT、Markdown、文本型PDF；异步索引；效力元数据和人工发布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DOCX按样本验证；OCR、复杂Office、连接器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问答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当前有效资料；引用、适用条件、拒答、草稿流与人工转交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多步Agent、联网回答、自动业务动作不在首版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检索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授权且适用的精确向量基线；配置一致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中文词法与RRF/重排经对照后启用；ES延后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质量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六阶段真实轨迹；小型标注集；反馈人工审核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自动裁判只能辅助；规模化评测另定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管理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三角色/同受众知识库；配置版本；健康和审计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多租户计费、SSO/SCIM和复杂制度审批流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集成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内部接口；一个受控演示宿主页的Widget可选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生产嵌入、完整Key控制台、Webhook</w:t>
            </w:r>
          </w:p>
        </w:tc>
      </w:tr>
    </w:tbl>
    <w:p>
      <w:pPr>
        <w:spacing w:after="0" w:line="60" w:lineRule="exact" w:before="0"/>
      </w:pPr>
    </w:p>
    <w:p>
      <w:pPr>
        <w:pStyle w:val="Heading1"/>
        <w:pageBreakBefore/>
      </w:pPr>
      <w:r>
        <w:rPr>
          <w:color w:val="000000"/>
        </w:rPr>
        <w:t>03  角色与授权边界</w:t>
      </w:r>
    </w:p>
    <w:p>
      <w:r>
        <w:t>角色名称为建议映射：IT 管理员负责身份与运行；知识库运营人员负责获授权知识库的文档和质量；普通员工负责问答与反馈。角色权限与知识库访问范围同时满足才允许操作。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324"/>
        <w:gridCol w:w="2324"/>
        <w:gridCol w:w="1871"/>
      </w:tblGrid>
      <w:tr>
        <w:trPr>
          <w:tblHeader/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IT 管理员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知识库运营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普通员工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用户 角色与知识库授权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可管理；变更留审计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仅查看自身可用范围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查看自身可用范围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文档上传 发布 重建 删除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需显式内容管理授权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限分配的知识库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问答 引用 原文下载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限显式授权知识库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限授权知识库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限授权知识库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本人会话与反馈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他人问答正文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无默认通读权限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需明确诊断授权及范围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检索调试与评测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需知识库及诊断权限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限授权范围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模型凭据与系统配置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可管理安全引用 不回显密钥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可管理被委派的非敏感参数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安全审计与健康元数据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按审计职责查看 脱敏展示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限本人或负责范围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仅自身必要状态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同受众知识库拆分规则</w:t>
      </w:r>
    </w:p>
    <w:p>
      <w:r>
        <w:t>知识库级 ACL 的前提是库内全部文件及片段可向该库全部成员展示。若一份材料受众更窄，应拆到受限知识库或拒绝导入，不靠提示词隐藏段落；部门、用工类型或地域的访问边界不一致时也需拆库。业务适用对象用于选正确规则，访问权限用于决定能否披露，两者不能互相替代。员工公共库排除工资表、个人薪资和其他人员个资。</w:t>
      </w:r>
    </w:p>
    <w:p>
      <w:pPr>
        <w:pStyle w:val="Heading2"/>
      </w:pPr>
      <w:r>
        <w:rPr>
          <w:color w:val="000000"/>
        </w:rPr>
        <w:t>服务端强制规则</w:t>
      </w:r>
    </w:p>
    <w:p>
      <w:pPr>
        <w:pStyle w:val="ListBullet"/>
      </w:pPr>
      <w:r>
        <w:t>从认证身份取得 enterprise_id、user_id 与授权版本。请求中的知识库 ID 仅是选择条件，不能替代鉴权。对象 ID 不可预测也不能替代权限检查。</w:t>
      </w:r>
    </w:p>
    <w:p>
      <w:pPr>
        <w:pStyle w:val="ListBullet"/>
      </w:pPr>
      <w:r>
        <w:t>文档列表、块预览、检索候选、调试、评测详情、历史消息、引用解析、文件下载和导出统一检查权限。禁止仅在导航栏隐藏入口。</w:t>
      </w:r>
    </w:p>
    <w:p>
      <w:pPr>
        <w:pStyle w:val="ListBullet"/>
      </w:pPr>
      <w:r>
        <w:t>模型上下文只能包含本次获授权的内容。未经授权的候选不得发送给模型、重排服务或客户端，也不得进入共享结果缓存。</w:t>
      </w:r>
    </w:p>
    <w:p>
      <w:pPr>
        <w:pStyle w:val="ListBullet"/>
      </w:pPr>
      <w:r>
        <w:t>缓存键包含企业、授权范围版本、业务效力版本、知识库、内容/索引版本及检索配置；缓存有效期不能跨过最近生效/失效边界。ACL或效力变化立即失效。</w:t>
      </w:r>
    </w:p>
    <w:p>
      <w:pPr>
        <w:pStyle w:val="Heading2"/>
      </w:pPr>
      <w:r>
        <w:rPr>
          <w:color w:val="000000"/>
        </w:rPr>
        <w:t>撤权与审计</w:t>
      </w:r>
    </w:p>
    <w:p>
      <w:r>
        <w:t>撤权或文档删除后，新请求立即拒绝；活动流停止后续披露。历史列表、答案正文、摘要和继续对话都重查来源依赖：任一来源不再可访问，保守隐藏整条派生答案并排除其摘要/缓存/后续模型上下文，而非仅禁用引用链接。来源依赖缺失或无法验证时同样停止使用。已发送到设备、复制或记住的内容无法收回；历史与当前效力的区别见第 9 章。</w:t>
      </w:r>
    </w:p>
    <w:p>
      <w:r>
        <w:t>权限、配置、文档发布/删除、评测集变更及密钥操作写入追加式审计，记录操作者、目标、时间、请求 ID、结果和脱敏前后差异。保留策略到期后的受控清理不等于可任意修改审计。</w:t>
      </w:r>
    </w:p>
    <w:p>
      <w:pPr>
        <w:pStyle w:val="Heading1"/>
        <w:pageBreakBefore/>
      </w:pPr>
      <w:r>
        <w:rPr>
          <w:color w:val="000000"/>
        </w:rPr>
        <w:t>04  页面映射 知识与质量</w:t>
      </w:r>
    </w:p>
    <w:p>
      <w:r>
        <w:t>设计来源为同一 Figma 文件中的 12 个页面。表内“已见”仅说明画面控件；入口、返回和路由为建议产品契约，需在交互稿与实现中补齐。浏览器返回应保持原筛选、页码和选中对象。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025"/>
        <w:gridCol w:w="3685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设计页面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画面已见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建议入口与返回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01 知识库总览</w:t>
              <w:br/>
              <w:t>1:2</w:t>
            </w:r>
          </w:p>
          <w:p>
            <w:hyperlink r:id="rId10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新建问答；文档/向量/问答/召回四卡；近7日图；向量库健康；最近文档与问答“查看全部”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登录后按权限到总览；新建问答到03；查看全部到02/11。指标需真实口径，缺数据用空态。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02 文档管理</w:t>
              <w:br/>
              <w:t>2:2</w:t>
            </w:r>
          </w:p>
          <w:p>
            <w:hyperlink r:id="rId11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拖拽/选择文件；50MB提示与批量排队；状态tabs；文档表；右侧切块预览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从导航/总览进入；预览关闭回同一列表。上传限额按试点配置，首版建议20MB，不照抄50MB。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03 问答工作台</w:t>
              <w:br/>
              <w:t>2:159</w:t>
            </w:r>
          </w:p>
          <w:p>
            <w:hyperlink r:id="rId12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会话历史/对话/检索来源三栏；新会话、重命名/删除；停止生成；角标定位来源；TopK8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从导航/新建问答/历史详情进入；返回保持会话。TopK与混合开关按已发布配置显示；引用先校验。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04 检索调试</w:t>
              <w:br/>
              <w:t>2:255</w:t>
            </w:r>
          </w:p>
          <w:p>
            <w:hyperlink r:id="rId13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查询改写→向量→BM25→融合→Rerank→生成六卡；阶段分数、排名、入选和参数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导航或获授权的问答/评测详情带trace_id进入；新增“返回来源记录”。实际未执行阶段显示跳过。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05 评测中心</w:t>
              <w:br/>
              <w:t>2:411</w:t>
            </w:r>
          </w:p>
          <w:p>
            <w:hyperlink r:id="rId14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运行评测；召回/准确/P95；120题108通过示例；明细与根因；“应用改进”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导航或反馈回归进入；详情返回同run列表。“应用改进”改为候选配置与验证，不直接覆盖线上。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06 系统设置</w:t>
              <w:br/>
              <w:t>2:641</w:t>
            </w:r>
          </w:p>
          <w:p>
            <w:hyperlink r:id="rId15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模型与Rerank；切块大小/重叠；TopK/融合/拒答；保存；“清空向量库并重建”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导航进入；未保存离开提醒；危险动作单独确认。embedding变化必须重嵌入，不能仅下次问答生效。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需要补齐的交互</w:t>
      </w:r>
    </w:p>
    <w:p>
      <w:r>
        <w:t>文档画面写支持 PDF/DOCX/MD/TXT/XLSX，示例另含 PPTX；首版收缩格式须同步上传文案和校验。画面未见知识库切换控件，需补充授权范围选择和默认值。文档操作列有裁切，需验证横向滚动。问答示例的一处引用与来源不一致，交付前按服务端映射修正。</w:t>
      </w:r>
    </w:p>
    <w:p>
      <w:pPr>
        <w:pStyle w:val="Heading1"/>
        <w:pageBreakBefore/>
      </w:pPr>
      <w:r>
        <w:rPr>
          <w:color w:val="000000"/>
        </w:rPr>
        <w:t>05  页面映射 管理与集成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025"/>
        <w:gridCol w:w="3685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设计页面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画面已见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建议入口与返回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07 状态规范</w:t>
              <w:br/>
              <w:t>根画板4:3</w:t>
            </w:r>
          </w:p>
          <w:p>
            <w:hyperlink r:id="rId16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空文档/会话/检索/评测；骨架与解析进度；索引失败、连接失败、配额耗尽；Toast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作为各业务页内状态，不另设运行导航。重试留原任务/页面；“去升级”仅在真实套餐存在时开放。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08 用户与权限</w:t>
              <w:br/>
              <w:t>7:2</w:t>
            </w:r>
          </w:p>
          <w:p>
            <w:hyperlink r:id="rId17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邀请；用户/角色/数据权限/状态；编辑；管理员/编辑/只读矩阵；停用说明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IT导航入口；编辑成功回列表并保留筛选。角色名待映射；补邀请/编辑/停用确认与失败态。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09 登录</w:t>
              <w:br/>
              <w:t>7:173</w:t>
            </w:r>
          </w:p>
          <w:p>
            <w:hyperlink r:id="rId18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账号密码、显示密码、记住我、忘记密码；企业微信扫码；条款与隐私说明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未登录受限路由进入；成功回原授权目标或总览。SSO/找回密码为条件项，不展示无效承诺。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10 API与集成</w:t>
              <w:br/>
              <w:t>7:213</w:t>
            </w:r>
          </w:p>
          <w:p>
            <w:hyperlink r:id="rId19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Key创建/轮换/禁用与用量；JS复制及theme；Webhook事件勾选和保存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IT授权入口；首版只展示已开放的受控接入。画面data-key引用长期读写Key的做法不采用。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11 问答记录与反馈</w:t>
              <w:br/>
              <w:t>7:591</w:t>
            </w:r>
          </w:p>
          <w:p>
            <w:hyperlink r:id="rId20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全部/赞/踩/未评价；时间/用户/问题/引用/反馈/查看；点踩原因；候选转正式说明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导航/总览进入；详情返回原筛选。员工限本人；运营按授权范围。补候选审核和处理详情。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12 问答挂件</w:t>
              <w:br/>
              <w:t>根画板16:3</w:t>
            </w:r>
          </w:p>
          <w:p>
            <w:hyperlink r:id="rId21">
              <w:r>
                <w:rPr>
                  <w:color w:val="195680"/>
                  <w:sz w:val="19"/>
                </w:rPr>
                <w:t>打开设计</w:t>
              </w:r>
            </w:hyperlink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OA悬浮按钮；380×620展开；快捷问答、引用展开、赞踩、关闭；移动全屏说明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宿主按钮打开，×收起并保留会话；反馈关联11。匿名/SSO仅是设计选项，首版采用受控身份。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全局状态与导航要求</w:t>
      </w:r>
    </w:p>
    <w:p>
      <w:r>
        <w:t>管理端左侧导航与当前页高亮保持一致。每条深链接先鉴权，再加载数据；403、404、加载、空态、部分失败、重试和取消都有明确去向。列表返回保留上下文；右键操作需提供可发现的菜单替代。移动稿、确认弹窗、实际跳转与失败态仍需补齐和测试。</w:t>
      </w:r>
    </w:p>
    <w:p>
      <w:pPr>
        <w:pStyle w:val="Heading1"/>
        <w:pageBreakBefore/>
      </w:pPr>
      <w:r>
        <w:rPr>
          <w:color w:val="000000"/>
        </w:rPr>
        <w:t>06  文档导入与处理</w:t>
      </w:r>
    </w:p>
    <w:p>
      <w:pPr>
        <w:pStyle w:val="Heading2"/>
      </w:pPr>
      <w:r>
        <w:rPr>
          <w:color w:val="000000"/>
        </w:rPr>
        <w:t>上传前校验</w:t>
      </w:r>
    </w:p>
    <w:p>
      <w:r>
        <w:t>FR D01 运营人员先选择具有写权限的知识库，再上传文件。服务端检查文件真实类型、大小、页数/文本量、解压后体积、编码、加密状态和内容安全，并限制解析时间与资源；解析器须锁版本并跟踪安全更新。建议试点起始上限为单文件 20 MB、文本型 PDF 300 页、单批 10 个文件；以上为待压测确认的配置，上传前和拒绝时均显示限制。</w:t>
      </w:r>
    </w:p>
    <w:p>
      <w:r>
        <w:t>同名文件不自动覆盖。按企业、知识库、文件内容哈希与处理配置版本检测重复，提示复用现有版本或建立明确新版本。不得跨知识库或跨授权边界通过重复提示泄露文件存在性。</w:t>
      </w:r>
    </w:p>
    <w:p>
      <w:pPr>
        <w:pStyle w:val="Heading2"/>
      </w:pPr>
      <w:r>
        <w:rPr>
          <w:color w:val="000000"/>
        </w:rPr>
        <w:t>处理状态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783"/>
        <w:gridCol w:w="2551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进入条件与用户可见信息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允许动作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uploaded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文件已接收；尚未检索可用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查看任务 取消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parsing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解析正文及页码或位置；显示阶段进度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查看任务 取消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chunking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生成稳定块及标题上下文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查看任务 取消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embedding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按固定模型与维度向量化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查看任务 取消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index_ready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技术索引就绪；业务可用性另判定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查看块 提交审核 重建 删除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记录阶段 错误码 是否可重试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查看原因 有界重试 删除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停止后续阶段 清理未发布产物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重新建立任务 删除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异步与幂等</w:t>
      </w:r>
    </w:p>
    <w:p>
      <w:r>
        <w:t>FR D02 上传返回 job_id，不等待整份文件完成。任务先事务落库，再由 worker 原子领取，记录租约、阶段、进度、尝试次数和心跳；租约超时可回收，进程重启可恢复。@Async 或提交后通知只负责执行或唤醒，不能替代持久任务。首版可用数据库任务表，无需为此引入消息中间件。每阶段提交产物使用幂等键，有限重试不重复生成块或发布。取消尽力停止并回收临时产物；已发往外部服务的调用可能已计费。[S8]</w:t>
      </w:r>
    </w:p>
    <w:p>
      <w:pPr>
        <w:pStyle w:val="Heading2"/>
      </w:pPr>
      <w:r>
        <w:rPr>
          <w:color w:val="000000"/>
        </w:rPr>
        <w:t>解析与切块</w:t>
      </w:r>
    </w:p>
    <w:p>
      <w:r>
        <w:t>FR D03 保留标题层级、原始页码或字符区间，去除重复页眉页脚时保留可验证映射。切块按标题与自然段优先，超长段再按 token 限制切分；块大小、重叠与 tokenizer 版本可追溯。空文本、乱码、扫描件、表格错序或受密码保护文件不得假装成功。</w:t>
      </w:r>
    </w:p>
    <w:p>
      <w:r>
        <w:t>在预览中展示正文、来源位置和切块结果。“已索引”仅代表技术就绪；只有通过第 7 章效力与权限检查的版本才用于当前问答。界面同时显示索引状态和业务状态；上传或向量化完成不能写成“制度已生效”。失败保留原文件是否允许及保留期限由运营策略确定。</w:t>
      </w:r>
    </w:p>
    <w:p>
      <w:pPr>
        <w:pStyle w:val="Heading1"/>
        <w:pageBreakBefore/>
      </w:pPr>
      <w:r>
        <w:rPr>
          <w:color w:val="000000"/>
        </w:rPr>
        <w:t>07  文档效力 版本与删除</w:t>
      </w:r>
    </w:p>
    <w:p>
      <w:pPr>
        <w:pStyle w:val="Heading2"/>
      </w:pPr>
      <w:r>
        <w:rPr>
          <w:color w:val="000000"/>
        </w:rPr>
        <w:t>技术就绪与业务有效分开</w:t>
      </w:r>
    </w:p>
    <w:p>
      <w:r>
        <w:t>FR D04 每份资料有内容版本和独立的业务效力元数据。上传、解析、切块和向量化只改变技术状态；index_ready 不自动取得回答资格。首版由指定业务负责人确认资料，运营人员手动发布，不引入复杂多级审批引擎。审批和发布可以同人操作，但必须记录身份与结论。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tblHeader/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字段或状态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最小要求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权威与责任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policy_id/content_version_id；资料负责人；权威来源；审核人/时间/结论；发布人/时间。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适用范围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适用部门、人群和必要地域/用工条件；字段缺失不得默认“全员适用”。访问受众另由知识库ACL控制。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效力区间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effective_from 必填；effective_until 可空；采用 [起始,结束) 区间并明确企业时区。未开始/当前有效/已失效由查询时点计算。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业务状态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待审核、已批准发布、已撤回。未来生效是已发布版本的时间属性，不是自动覆盖当前版的指令。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替代关系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replaces_version_ids 与替代生效时间；明确全部或部分替代。首版无法表达局部规则时保守拆分资料或标记冲突。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技术索引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每个内容版本关联其完整、已就绪的 index_version；同一文档可并存当前和未来内容版本。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当前问答的选择规则</w:t>
      </w:r>
    </w:p>
    <w:p>
      <w:r>
        <w:t>FR D06 默认回答“现在”的问题时，服务端以当前企业时区时点和已知适用对象筛选：有访问权限、索引就绪、已批准发布、处于有效区间、未撤回且未在该时点被替代。先取合格内容版本，再检索其块。不能按上传时间、最大版本号或单个“最新活动文档指针”选制度。</w:t>
      </w:r>
    </w:p>
    <w:p>
      <w:r>
        <w:t>未来版本可以提前上传、审批和建立索引，当前有效版本继续服务。到达生效时点且前置条件满足后才参与当前问答；若新规已生效但索引未准备好，受影响问题停止自动回答并转人工，不能默默继续使用失效旧规。单个内容版本的索引重建可原子切换，但不改变制度效力。</w:t>
      </w:r>
    </w:p>
    <w:p>
      <w:r>
        <w:t>适用部门、人群或查询日期不明且影响答案时先澄清；同一时点出现无明确优先级的冲突资料时，指出冲突和经确认的人工渠道，拒绝给出确定结论。明确查询过去/未来时使用指定日期并显著标明日期，不与“当前有效”答案混称。</w:t>
      </w:r>
    </w:p>
    <w:p>
      <w:pPr>
        <w:pStyle w:val="Heading2"/>
      </w:pPr>
      <w:r>
        <w:rPr>
          <w:color w:val="000000"/>
        </w:rPr>
        <w:t>重建与来源血缘</w:t>
      </w:r>
    </w:p>
    <w:p>
      <w:r>
        <w:t>模型、维度、解析或切块改变产生新索引版本，旧的合格索引在新索引就绪前继续使用；同一请求固定内容、索引、效力和配置快照。块保存 chunk_id、内容版本、序号、标题、页码/字符区间和文本哈希；评测真值独立于 chunk_id，见第 12 章。禁止截断向量或混用空间，回滚须恢复匹配的模型/维度/索引。HNSW可空表创建并增量写入；批量加载后建索引只是优化选项。</w:t>
      </w:r>
    </w:p>
    <w:p>
      <w:pPr>
        <w:pStyle w:val="Heading2"/>
      </w:pPr>
      <w:r>
        <w:rPr>
          <w:color w:val="000000"/>
        </w:rPr>
        <w:t>删除与撤回</w:t>
      </w:r>
    </w:p>
    <w:p>
      <w:r>
        <w:t>FR D05 撤回先使资料退出当前问答；删除或撤销访问则立即阻止检索、原文、引用、调试、评测和派生历史正文访问，再异步清理正文、向量、文件与缓存。页面区分访问已停用、清理进行中、完成/失败；清理失败重试并告警。备份按批准保留期退出，不能承诺瞬时物理销毁。普通到期的历史资料能否在授权的历史查看中保留，按第 9 章规则处理。</w:t>
      </w:r>
    </w:p>
    <w:p>
      <w:pPr>
        <w:pStyle w:val="Heading1"/>
        <w:pageBreakBefore/>
      </w:pPr>
      <w:r>
        <w:rPr>
          <w:color w:val="000000"/>
        </w:rPr>
        <w:t>08  检索与重排</w:t>
      </w:r>
    </w:p>
    <w:p>
      <w:pPr>
        <w:pStyle w:val="Heading2"/>
      </w:pPr>
      <w:r>
        <w:rPr>
          <w:color w:val="000000"/>
        </w:rPr>
        <w:t>首版检索基线</w:t>
      </w:r>
    </w:p>
    <w:p>
      <w:r>
        <w:t>FR R01 请求通过鉴权与知识库选择后，先按访问权限、适用对象、查询日期、审批与替代关系确定合格内容版本集合，再检索。当前知识库级ACL只允许同受众资料入库；不能依靠模型排除受限材料。以授权范围内精确向量检索建立正确性基线；查询和文档使用同一 embedding 模型、维度及距离度量约定。索引 operator class 必须匹配查询算子，校验有限数值与有效向量；余弦零向量不能参与有效检索，不能把余弦检索一律写成必须预先归一化。</w:t>
      </w:r>
    </w:p>
    <w:p>
      <w:r>
        <w:t>pgvector 的近似索引查询在过滤场景下可能先扫描索引再过滤，返回不足 K 条。不能因 SQL 中有权限条件就假设 ANN 会提供足量结果。基线、ANN 与过滤策略分别测试；通过分区、足够扫描量或授权范围精确回退补齐召回，同时确保未授权内容不进入后续链路。[S2]</w:t>
      </w:r>
    </w:p>
    <w:p>
      <w:pPr>
        <w:pStyle w:val="Heading2"/>
      </w:pPr>
      <w:r>
        <w:rPr>
          <w:color w:val="000000"/>
        </w:rPr>
        <w:t>混合检索的启用条件</w:t>
      </w:r>
    </w:p>
    <w:p>
      <w:r>
        <w:t>FR R02 “混合”指词法检索与向量检索的结果融合。PostgreSQL 词法能力须选择并实测中文分词、版本和索引方式，不能将默认全文检索直接称为中文 BM25。建议采用 RRF 按排序融合，并保留每一路排名、原始得分和融合分；不同打分尺度不得直接相加。</w:t>
      </w:r>
    </w:p>
    <w:p>
      <w:r>
        <w:t>先使用编号、缩写、人名、制度标题、精确术语和语义改写问题做对照评测。若复杂度未带来可重复的质量增益，首版可保留向量检索，界面据实显示“词法阶段未启用”；Elasticsearch 延后。</w:t>
      </w:r>
    </w:p>
    <w:p>
      <w:pPr>
        <w:pStyle w:val="Heading2"/>
      </w:pPr>
      <w:r>
        <w:rPr>
          <w:color w:val="000000"/>
        </w:rPr>
        <w:t>重排与上下文构建</w:t>
      </w:r>
    </w:p>
    <w:p>
      <w:r>
        <w:t>FR R03 bge-reranker-v2-m3 可作为条件组件，经独立 Python HTTP 服务或已验证适配器接入。限定候选条数、单段长度、批大小、并发、超时和内存；不得预设在 2 GB 主机上可稳定运行。先测目标 CPU 的延迟与内存，再决定是否纳入首版。ONNX、INT8 或 OpenVINO 属后续可选优化，需同时回归质量、P95 和资源，不预设量化必然提速。[S4][S9]</w:t>
      </w:r>
    </w:p>
    <w:p>
      <w:r>
        <w:t>重排超时按配置回退到融合或向量排序，并在轨迹标明降级。若证据不足，则拒答；不能因降级改用模型常识补足企业事实。上下文做重复块合并、同文档邻近块处理、总 token 预算和来源覆盖控制。</w:t>
      </w:r>
    </w:p>
    <w:p>
      <w:pPr>
        <w:pStyle w:val="Heading2"/>
      </w:pPr>
      <w:r>
        <w:rPr>
          <w:color w:val="000000"/>
        </w:rPr>
        <w:t>配置边界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608"/>
        <w:gridCol w:w="4706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建议初始范围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发布规则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召回 K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5–30 条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受总 token 与延迟预算限制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重排候选/入模证据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最多 20 条/最多 5 条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均为待样本测试的起始配置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最低证据门槛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按模型及数据集校准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相似度阈值不能等价为回答可信度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回退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授权范围精确检索或无重排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必须记录原因 禁止绕过 ACL</w:t>
            </w:r>
          </w:p>
        </w:tc>
      </w:tr>
    </w:tbl>
    <w:p>
      <w:pPr>
        <w:spacing w:after="0" w:line="60" w:lineRule="exact" w:before="0"/>
      </w:pPr>
    </w:p>
    <w:p>
      <w:pPr>
        <w:pStyle w:val="Heading1"/>
        <w:pageBreakBefore/>
      </w:pPr>
      <w:r>
        <w:rPr>
          <w:color w:val="000000"/>
        </w:rPr>
        <w:t>09  回答 引用与历史上下文</w:t>
      </w:r>
    </w:p>
    <w:p>
      <w:pPr>
        <w:pStyle w:val="Heading2"/>
      </w:pPr>
      <w:r>
        <w:rPr>
          <w:color w:val="000000"/>
        </w:rPr>
        <w:t>回答规则与必要条件</w:t>
      </w:r>
    </w:p>
    <w:p>
      <w:r>
        <w:t>FR Q01 模型只根据本次授权且符合业务效力的证据回答。问题涉及部门、用工类型、日期等条件时，答案须说明适用对象、生效时间、必要步骤和重要例外；缺少决定性条件先澄清，资料冲突或证据不足则拒绝确定结论并指向已确认的人工渠道。不得泄露隐藏库或受限文件存在性。</w:t>
      </w:r>
    </w:p>
    <w:p>
      <w:r>
        <w:t>文档属于不可信输入，不能改变系统规则或取得工具权限；首版不赋予模型高权限工具。用户问题中若粘贴个人薪资或其他不在试点范围的数据，应提示停止提交并转受控渠道；已识别为受限内容时不得进入外部模型、公共库或普通日志。自动检测可能漏判，不能承诺完美识别；资料准入、权限和用户提示仍需共同约束。</w:t>
      </w:r>
    </w:p>
    <w:p>
      <w:pPr>
        <w:pStyle w:val="Heading2"/>
      </w:pPr>
      <w:r>
        <w:rPr>
          <w:color w:val="000000"/>
        </w:rPr>
        <w:t>两层引用验收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572"/>
      </w:tblGrid>
      <w:tr>
        <w:trPr>
          <w:tblHeader/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能验证什么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不能据此声称什么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确定性完整性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服务端ID真实存在且属于本次入模证据；文档/索引版本和位置匹配；权限/效力仍满足；点击解析到同一片段。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ID和链接正确不能证明片段支持结论，也不能证明答案条件完整。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语义支撑与条件完整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业务标注者判断每个关键结论是否被证据支持，是否遗漏对象、期限、例外或前提；与必要事实真值比对。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模型自评或自动裁判只能辅助发现问题，不能替代人工标注和业务验收。</w:t>
            </w:r>
          </w:p>
        </w:tc>
      </w:tr>
    </w:tbl>
    <w:p>
      <w:pPr>
        <w:spacing w:after="0" w:line="60" w:lineRule="exact" w:before="0"/>
      </w:pPr>
    </w:p>
    <w:p>
      <w:r>
        <w:t>FR Q02 引用ID及URL由服务端映射，模型不能任意编造。确定性校验失败按第10章处理。语义正确性通过生成约束、固定样本人工评测和试点反馈复核，不承诺运行时仅凭ID就完成语义验证。界面只能称“引用链接/来源校验通过”，不得因此标“答案已验证正确”。</w:t>
      </w:r>
    </w:p>
    <w:p>
      <w:pPr>
        <w:pStyle w:val="Heading2"/>
      </w:pPr>
      <w:r>
        <w:rPr>
          <w:color w:val="000000"/>
        </w:rPr>
        <w:t>历史访问与撤权</w:t>
      </w:r>
    </w:p>
    <w:p>
      <w:r>
        <w:t>FR Q03 会话归属用户和企业，读取历史正文与继续对话均检查所有权。每条答案保存实际入模来源依赖和版本，而非只存最后显示的引用；摘要记录其派生依赖。若来源被删除、访问被撤销或依赖无法核验，隐藏整条派生答案，保留无正文状态说明，并排除消息、摘要、缓存和任何旧模型上下文。前端已看到或复制的文本无法远程收回。</w:t>
      </w:r>
    </w:p>
    <w:p>
      <w:r>
        <w:t>普通到期或被替代不等于当时回答错误：有当前访问权限且保留策略允许时，可在历史查看中展示“依据当时版本，仅供历史核对”及回答时点，引用打开仍鉴权。用户继续问当前制度时，重新检索当前合格资料，不把旧答案/摘要当企业事实。版本被撤回、效力无法确认或来源状态异常时，默认停止展示和再用，交人工确认。</w:t>
      </w:r>
    </w:p>
    <w:p>
      <w:r>
        <w:t>用户原问题也可能包含复制的受限内容。发现来源/敏感性问题时对相关消息限制展示并排除上下文，不只处理助手答案；自动来源追踪不完整时不做“已清除全部敏感内容”的承诺。历史过期、撤权和用户主动删除分别记录原因。</w:t>
      </w:r>
    </w:p>
    <w:p>
      <w:pPr>
        <w:pStyle w:val="Heading2"/>
      </w:pPr>
      <w:r>
        <w:rPr>
          <w:color w:val="000000"/>
        </w:rPr>
        <w:t>前端会话状态</w:t>
      </w:r>
    </w:p>
    <w:p>
      <w:r>
        <w:t>完成、拒答、中断、校验失败分别存储。生成过程中的正文为可见草稿，标明“生成中，引用待验证”；完成后仅表示生成结束及确定性校验通过。用户停止或异常中断后不把草稿计为成功答案，也不纳入后续模型上下文。</w:t>
      </w:r>
    </w:p>
    <w:p>
      <w:pPr>
        <w:pStyle w:val="Heading1"/>
        <w:pageBreakBefore/>
      </w:pPr>
      <w:r>
        <w:rPr>
          <w:color w:val="000000"/>
        </w:rPr>
        <w:t>10  流式协议与失败策略</w:t>
      </w:r>
    </w:p>
    <w:p>
      <w:r>
        <w:t>FR Q04 建议用带认证头的POST请求，以fetch读取SSE。原生EventSource不提供任意POST体或自定义认证头；Cookie/任务订阅方案另查CSRF与订阅授权。[S6]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535"/>
        <w:gridCol w:w="3969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最小字段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前端语义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start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request_id message_id trace_id config_version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已受理，不代表答案成功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token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request_id seq delta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追加可见草稿；seq用于去重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citation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citation_id chunk_id locator state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可先发授权来源映射；实际使用状态须最终确认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status finish_reason usage latency validation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answered/refused/cancelled终态；validation仅表确定性检查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error_code retryable discard_draft safe_message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失败终态；按discard_draft移除草稿，不暴露堆栈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拟议首版策略</w:t>
      </w:r>
    </w:p>
    <w:p>
      <w:r>
        <w:t>默认实时草稿流，持续标“生成中，引用待验证”。权限、适用对象和业务效力在入模前检查，流中遇撤权停止后续输出。完成前做确定性引用校验；失败立即停流，从正常答案区移除本次正文、保留错误标记，并排除该正文及其摘要/缓存/后续上下文。已看到、复制或截图的内容无法撤回，移除UI不能替代事前鉴权。</w:t>
      </w:r>
    </w:p>
    <w:p>
      <w:r>
        <w:t>通过确定性检查后可展示完整答案与来源，提示核对适用条件，不称语义已自动验真。更敏感场景可评审全文缓冲模式，但缓冲和ID校验仍不能证明语义正确。默认与严格模式均待确认；拟议员工公开资料试点排除个人薪资等个案。来源可先发、实际引用可末尾确认；中断时不能显示引用已验证。</w:t>
      </w:r>
    </w:p>
    <w:p>
      <w:pPr>
        <w:pStyle w:val="Heading2"/>
      </w:pPr>
      <w:r>
        <w:rPr>
          <w:color w:val="000000"/>
        </w:rPr>
        <w:t>幂等 断线与取消</w:t>
      </w:r>
    </w:p>
    <w:p>
      <w:r>
        <w:t>按用户、会话、request_id及正文摘要去重；同ID不同正文返回冲突。断线先查原任务，不自动另建生成请求。已完成正文取回须再查来源权限/效力。首版不保证流片段持久化或续写；中断/校验失败的草稿不得纳入成功率或后续上下文。停止请求校验所有权并尽力取消上游，已消耗调用仍计用量。</w:t>
      </w:r>
    </w:p>
    <w:p>
      <w:pPr>
        <w:pStyle w:val="Heading2"/>
      </w:pPr>
      <w:r>
        <w:rPr>
          <w:color w:val="000000"/>
        </w:rPr>
        <w:t>超时与重试</w:t>
      </w:r>
    </w:p>
    <w:p>
      <w:r>
        <w:t>分别设置连接、首事件、流空闲、总时限；代理关闭缓冲，心跳不冒充内容。429尊重Retry-After，临时5xx有界退避，401/403不盲重试；避免框架内外重试叠乘。已发正文后不能静默重放或拼接另一模型答案，应标partial/error并由用户重试。Resilience4j可选，验收针对超时、限流、并发隔离和失败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932"/>
      </w:tblGrid>
      <w:tr>
        <w:trPr>
          <w:tblHeader/>
          <w:cantSplit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错误码示例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AUTH_REQUIRED / FORBIDDEN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重登录或无权限状态；不泄露受限对象存在性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DOCUMENT_NOT_READY / INDEX_MISMATCH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查看处理状态；索引/模型不匹配禁止检索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NO_SUPPORTED_EVIDENCE / VALIDATION_FAILED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前者为正常拒答；后者失败移除草稿并排除上下文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PROVIDER_RATE_LIMIT / PROVIDER_TIMEOUT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有界重试；不切换未批准供应商；计入调用尝试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BUDGET_EXCEEDED / REQUEST_CONFLICT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阻止新付费调用或重复受理，保留原请求查询入口</w:t>
            </w:r>
          </w:p>
        </w:tc>
      </w:tr>
    </w:tbl>
    <w:p>
      <w:pPr>
        <w:spacing w:after="0" w:line="60" w:lineRule="exact" w:before="0"/>
      </w:pPr>
    </w:p>
    <w:p>
      <w:pPr>
        <w:pStyle w:val="Heading1"/>
        <w:pageBreakBefore/>
      </w:pPr>
      <w:r>
        <w:rPr>
          <w:color w:val="000000"/>
        </w:rPr>
        <w:t>11  六阶段检索调试</w:t>
      </w:r>
    </w:p>
    <w:p>
      <w:r>
        <w:t>FR T01 调试与真实问答复用同一检索链路及 trace_id，不维护另一套“演示逻辑”。每阶段记录 started_at、ended_at、elapsed_ms、status、输入输出摘要和配置版本；stage status 为 success、failed、skipped 或 cancelled。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365"/>
        <w:gridCol w:w="3685"/>
      </w:tblGrid>
      <w:tr>
        <w:trPr>
          <w:tblHeader/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需要展示的真实数据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安全与准确性约束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1 查询改写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原问题 检索问题 选定知识库 授权版本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改写可选；未改写标记skipped并保留原问题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2 向量召回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embedding 模型/维度 耗时候选 ID 相似度 排名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不记录完整向量；授权后候选才能显示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3 词法召回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分词方案 查询词 候选 ID 原始分数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未启用时显示 skipped；不可伪造 BM25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4 融合排序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融合参数 各路排名 融合分 排序结果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RRF与加权分数不混称；向量基线可跳过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5 重排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输入候选 重排分 排序变化 耗时 降级原因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可选服务；超时回退必须记录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6 上下文与生成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选中块/版本 token预算 模型 用量 TTFT 引用映射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展开上下文构建和引用校验子阶段；正文受控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根因分类</w:t>
      </w:r>
    </w:p>
    <w:p>
      <w:r>
        <w:t>FR T02 失败或低分回答按以下顺序排查：文档未就绪或版本错误 → 解析/切块遗漏 → 授权范围不符合预期 → 标注证据未召回 → 融合或重排误排 → 上下文预算挤出 → 生成没有遵循证据 → 引用映射失败。根因可以多选，但“模型问题”不能作为无证据的默认归因。</w:t>
      </w:r>
    </w:p>
    <w:p>
      <w:pPr>
        <w:pStyle w:val="Heading2"/>
      </w:pPr>
      <w:r>
        <w:rPr>
          <w:color w:val="000000"/>
        </w:rPr>
        <w:t>对比和再运行</w:t>
      </w:r>
    </w:p>
    <w:p>
      <w:r>
        <w:t>调试页允许在获授权的知识库上输入问题并选择已发布配置。改变参数得到新 run_id，展示同一问题在基线和候选配置下的差异。再运行不覆盖原轨迹，也不直接发布配置。任何额外模型调用在点击前提示并计入用量。</w:t>
      </w:r>
    </w:p>
    <w:p>
      <w:pPr>
        <w:pStyle w:val="Heading2"/>
      </w:pPr>
      <w:r>
        <w:rPr>
          <w:color w:val="000000"/>
        </w:rPr>
        <w:t>保留与导出</w:t>
      </w:r>
    </w:p>
    <w:p>
      <w:r>
        <w:t>默认记录诊断元数据，正文和完整提示词按最小必要原则单独受控。脱敏规则、保留天数和导出权限列入待确认项。审计查看调试正文的行为；普通应用日志不得写入完整文档、用户敏感问题、认证头或模型密钥。</w:t>
      </w:r>
    </w:p>
    <w:p>
      <w:pPr>
        <w:pStyle w:val="Heading1"/>
        <w:pageBreakBefore/>
      </w:pPr>
      <w:r>
        <w:rPr>
          <w:color w:val="000000"/>
        </w:rPr>
        <w:t>12  评测真值与证据口径</w:t>
      </w:r>
    </w:p>
    <w:p>
      <w:pPr>
        <w:pStyle w:val="Heading2"/>
      </w:pPr>
      <w:r>
        <w:rPr>
          <w:color w:val="000000"/>
        </w:rPr>
        <w:t>与切块参数无关的真值</w:t>
      </w:r>
    </w:p>
    <w:p>
      <w:r>
        <w:t>FR E01 每条样本保存问题、权限画像、适用对象、查询时点、可回答/应澄清/应转人工标签、参考答案和必要事实清单。证据以权威原文件内容版本加页码/章节/字符区间及原文摘录或哈希标注，不以当前 chunk_id 作为唯一真值。跨文档或分散证据分别列出，重要条件和例外必须有标注。</w:t>
      </w:r>
    </w:p>
    <w:p>
      <w:r>
        <w:t>每次运行根据该索引版本生成 source_span → chunk_ids 映射，并验证覆盖关系。比较切块大小、重叠或重排参数时，使用同一份来源位置和必要事实真值；块ID变化不改变正确答案。内容版本真实变化则建立新真值版本，旧运行保留旧映射与结果；映射失败记为评测准备失败，不能计作模型漏召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592"/>
        <w:gridCol w:w="3118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统一口径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验收限制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Hit@K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前K块是否覆盖至少一个标注证据位置；对可回答题取比例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标注位置先映射到本次索引；另报关键事实覆盖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证据Recall@K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每题检出的唯一标注证据位置数/全部标注位置数，宏平均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同一证据被多个重叠块覆盖只计一次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必要事实覆盖率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已检出或已正确回答的必要事实数/全部必要事实数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检索覆盖和回答覆盖分开报；关键前提缺失仍判失败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回答正确与完整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人工按结论、适用对象、时点、前提及重要例外判分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语义正确性独立于引用ID完整性；保留判定理由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引用语义支持率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人工确认由引用支持的可核查断言数/已引用断言数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另报漏引用；错误引用与缺关键条件不能互相抵消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拒答与转交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应拒答题错误作答率、可回答题错误拒答率、合理转交率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分别报告类别分母和错误个数；不混成总准确率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体验与资源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查询完成时间、TTFT/完整请求P95、失败率、调用/成本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业务完成时间口径见第2章；延迟固定环境与并发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小样本只支持试点结论</w:t>
      </w:r>
    </w:p>
    <w:p>
      <w:r>
        <w:t>10–20份文档、30–50条问题是种子试点规模。分成无答案、冲突、撤权、未来生效等类别后，每类可能只有数条；报告“0/5错误”不能推出生产错误率≤5%。先逐题人工检查并报告分子/分母、失败类型和未知项，扩大有代表性的独立样本后再讨论置信区间与生产阈值。</w:t>
      </w:r>
    </w:p>
    <w:p>
      <w:r>
        <w:t>建议试点观察目标为Hit@5约90%、回答正确且完整约80%、引用支持约95%，用于发现差距而非生产达标证明。高风险越权、已知错误效力选择和虚构引用发现一例即阻止试点放行。应拒答错误作答≤5%仅列后续候选生产目标；样本量、采样方式和统计把握度由测试与业务负责人确认。</w:t>
      </w:r>
    </w:p>
    <w:p>
      <w:r>
        <w:t>性能先在固定模型、文档量、token预算与并发2下建立基线；TTFT P95≤5秒、端到端P95≤30秒仍为待实测的候选目标。质量类别数与测试轮次同时披露，不能用速度掩盖错误或中断。</w:t>
      </w:r>
    </w:p>
    <w:p>
      <w:pPr>
        <w:pStyle w:val="Heading2"/>
      </w:pPr>
      <w:r>
        <w:rPr>
          <w:color w:val="000000"/>
        </w:rPr>
        <w:t>运行与人工分级</w:t>
      </w:r>
    </w:p>
    <w:p>
      <w:r>
        <w:t>FR E02 数据集由业务标注者审核；至少对全部试点留出样本人工判定并复核分歧。自动裁判只能建议分数和疑点。运行记录数据集、来源真值、映射、索引、效力、配置版本及身份；留出集不参与选参数，配置比较用同一真值。失败/未完成题单列；通过权限、效力、人工质量和性能检查后才可发布配置。</w:t>
      </w:r>
    </w:p>
    <w:p>
      <w:pPr>
        <w:pStyle w:val="Heading1"/>
        <w:pageBreakBefore/>
      </w:pPr>
      <w:r>
        <w:rPr>
          <w:color w:val="000000"/>
        </w:rPr>
        <w:t>13  反馈与配置改进</w:t>
      </w:r>
    </w:p>
    <w:p>
      <w:pPr>
        <w:pStyle w:val="Heading2"/>
      </w:pPr>
      <w:r>
        <w:rPr>
          <w:color w:val="000000"/>
        </w:rPr>
        <w:t>反馈闭环</w:t>
      </w:r>
    </w:p>
    <w:p>
      <w:r>
        <w:t>FR F01 员工可对自己的回答点赞或点踩，选择“答错了、没答到、引用不对、应该拒答、内容过期”等原因并补充说明。记录 message_id、反馈版本、时间和来源；同一用户可修改自己的反馈，保留变更历史。点踩本身不自动生成可信答案。</w:t>
      </w:r>
    </w:p>
    <w:p>
      <w:r>
        <w:t>FR F02 运营查看其获授权范围内的反馈，关联原问题、当时答案、证据、配置版本和轨迹。处理状态为待处理、处理中、待验证、已解决、无需处理；记录负责人、根因、修复方案和验证链接。无法读取原文时显示权限或保留期状态。</w:t>
      </w:r>
    </w:p>
    <w:p>
      <w:r>
        <w:t>将反馈转为评测候选后，人工补齐期望答案、必要事实、适用条件、查询时点、拒答/转交标签和原文位置证据，检查敏感信息，再审批加入新数据集版本。未经审核不得进入固定测试集，也不得自动训练模型。修复通过回归后再关闭反馈；每次关闭有依据。</w:t>
      </w:r>
    </w:p>
    <w:p>
      <w:pPr>
        <w:pStyle w:val="Heading2"/>
      </w:pPr>
      <w:r>
        <w:rPr>
          <w:color w:val="000000"/>
        </w:rPr>
        <w:t>设置的生效范围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252"/>
        <w:gridCol w:w="3061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修改后行为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必要校验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聊天模型与生成参数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新请求使用新版本；进行中请求保持原版本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可用性 数据发送边界 上下文/输出预算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Embedding 模型 维度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建立新索引并全量重嵌入；成功后切换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真实返回维度 与存储索引兼容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解析器 切块 重叠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对选定范围后台重建；不改变业务审批/效力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块数估算 费用与耗时提醒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召回 K 融合 重排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先保存候选，再评测和发布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上下界 超时 CPU内存 token预算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拒答与提示词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按版本管理，可回滚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拒答集 注入测试 引用支持检查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凭据与访问地址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仅 IT 授权管理；保存安全引用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不回显原值；允许列表和连接验证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保存与发布</w:t>
      </w:r>
    </w:p>
    <w:p>
      <w:r>
        <w:t>FR C01 页面区分“保存候选配置”“验证”“发布”与“重建受影响索引”。展示生效时间、影响范围、成本提示及上个版本。使用乐观锁防止两人覆盖；冲突时显示最新版本并要求重新确认。界面不得让一个普通保存按钮悄然触发全库重嵌入。</w:t>
      </w:r>
    </w:p>
    <w:p>
      <w:r>
        <w:t>当前设置页底部固定保存栏需要补齐内容底部留白和滚动验收，确保检索参数与拒答配置可见、可操作。登录页中企业微信 SSO 入口属于设计范围；首版是否实现需独立确认。</w:t>
      </w:r>
    </w:p>
    <w:p>
      <w:pPr>
        <w:pStyle w:val="Heading1"/>
        <w:pageBreakBefore/>
      </w:pPr>
      <w:r>
        <w:rPr>
          <w:color w:val="000000"/>
        </w:rPr>
        <w:t>14  技术方案与复用边界</w:t>
      </w:r>
    </w:p>
    <w:p>
      <w:r>
        <w:t>建议采用模块化单体作为业务主应用，后台任务与重排服务按需要独立运行。接口分离 ChatProvider 与 EmbeddingProvider，模型凭据仅留在服务端。可替换接口优先，首版无需引入微服务注册中心、分布式事务或多套消息中间件。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28"/>
        <w:gridCol w:w="4252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建议基线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约束或先决条件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Java 与框架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Spring Boot 3.5.x + Spring AI 1.1.x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固定 BOM 和依赖；Spring AI 2.x 对应 Boot 4.x [S1]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业务持久化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MyBatis Plus + PostgreSQL 16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独立数据库 角色 迁移和备份，不借生产业务表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向量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pgvector；先精确检索再评估 HNSW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vector HNSW 上限 2000 维；halfvec 上限 4000 [S2]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向量模型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embedding-3 候选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默认 2048 维；显式低维输出须实测供应商支持 [S3]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生成模型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GLM-4.7-Flash 候选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官方有免费公告；账号资格 限额 隐私与稳定性另验 [S5]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重排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bge-reranker-v2-m3 可选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目标 CPU 压测；独立服务或已验证适配器 [S4]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前端与身份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React + Ant Design；Spring Security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JWT 生命周期 撤权 CSRF/CORS 存储策略需安全设计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向量建库前置验证</w:t>
      </w:r>
    </w:p>
    <w:p>
      <w:r>
        <w:t>真实、经授权的非敏感样本请求必须验证 embedding 维度、批量限制、查询/文档一致性、超时与计费。在此之前只保留可配置契约，不写死不兼容 DDL。≤2000 维是普通 vector HNSW 路线的限制，不代表任意维度都获供应商支持；halfvec 路线须单独评测精度和兼容性。</w:t>
      </w:r>
    </w:p>
    <w:p>
      <w:pPr>
        <w:pStyle w:val="Heading2"/>
      </w:pPr>
      <w:r>
        <w:rPr>
          <w:color w:val="000000"/>
        </w:rPr>
        <w:t>已有项目可借用什么</w:t>
      </w:r>
    </w:p>
    <w:p>
      <w:r>
        <w:t>TableDine 已核验配置使用 postgres:16-alpine，可借用部署经验；标准 PostgreSQL 镜像并不自动带 pgvector，需准备扩展、版本和升级方案。不可直接沿用原项目数据卷、凭据或业务表。[R1]</w:t>
      </w:r>
    </w:p>
    <w:p>
      <w:r>
        <w:t>general-free 的已核验版本仍以 mock 运行，真实 Groq/Gemini 路由禁用且待审核；没有 embeddings，限制 non_sensitive、单 worker 和并发 2，不能作为已就绪的企业模型网关。首版直连经批准的供应商，网关仅作未来适配候选。[R2]</w:t>
      </w:r>
    </w:p>
    <w:p>
      <w:r>
        <w:t>AssistFlow 的 MIT Widget 交互与 FAQ 结构可参考；53 条演示 FAQ 不等于企业授权知识库，既有 site key/visitor token 也不能证明企业知识库隔离已经完备。复制实质代码保留许可声明。[R3]</w:t>
      </w:r>
    </w:p>
    <w:p>
      <w:pPr>
        <w:pStyle w:val="Heading1"/>
        <w:pageBreakBefore/>
      </w:pPr>
      <w:r>
        <w:rPr>
          <w:color w:val="000000"/>
        </w:rPr>
        <w:t>15  最小数据模型</w:t>
      </w:r>
    </w:p>
    <w:p>
      <w:r>
        <w:t>以下为逻辑实体，不限定最终表名。通用字段含稳定 ID、enterprise_id、created_at、updated_at、version；时间统一以 UTC 存储并按用户时区显示。跨实体关联必须校验同企业和资源范围。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762"/>
        <w:gridCol w:w="2721"/>
      </w:tblGrid>
      <w:tr>
        <w:trPr>
          <w:tblHeader/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最小字段或关系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User Role Grant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user_id status role_id；knowledge_base_id operation grant_version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禁用和撤权及时生效；角色与数据范围分离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KnowledgeBase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name owner_id audience_rule status active_config_version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同受众资料；删除前核对文档/会话/任务关系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Document Version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document_id version_id hash storage_ref technical_status ready_index_version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内容不覆盖；多内容版本按效力区间并存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PolicyValidity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content_version_id owner audience effective_from/until approval replaces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人工发布；效力筛选独立于索引就绪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Chunk Embedding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chunk_id version_id text locator embedding_model dimension index_version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向量空间一致；正文与原始位置可回溯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IngestionJob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job_id stage attempt idempotency_key progress error_code lease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任务可恢复；阶段产物幂等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Conversation Message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owner_id message_id content status request_id source_dependencies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历史正文/摘要/上下文均重查来源；草稿不再用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Citation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message_id citation_id chunk_id document_version_id locator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只能来自本次上下文白名单；打开时重鉴权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Trace Stage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trace_id request_id stage_id status timing counts redacted_payload_ref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诊断正文单独受控；没有执行就无成功记录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Dataset Case Run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truth_version source_spans necessary_facts population as_of mapping_version run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真值独立chunk；人工审核；留出集不参与调参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message_id author_id rating reason status root_cause linked_case_id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审核后才可纳入评测；处理结果可追溯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ConfigVersion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provider_ref model dimensions retrieval prompt chunking status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候选/发布分离；活动索引与模型兼容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Usage Audit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request_id attempt provider tokens estimated_cost status；actor action target result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用量按尝试累计；审计脱敏且追加式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一致性与保留</w:t>
      </w:r>
    </w:p>
    <w:p>
      <w:r>
        <w:t>文档状态、业务审批/效力记录、同内容版本索引切换和任务终态使用事务或可靠事件同步。异步清理以持久化任务和幂等处理保证可追踪。缓存不是权威数据源。问答、诊断正文、审计、文件和备份分别定义保留期，不用一个“删除全部”承诺掩盖不同生命周期。</w:t>
      </w:r>
    </w:p>
    <w:p>
      <w:pPr>
        <w:pStyle w:val="Heading1"/>
        <w:pageBreakBefore/>
      </w:pPr>
      <w:r>
        <w:rPr>
          <w:color w:val="000000"/>
        </w:rPr>
        <w:t>16  最小接口与嵌入边界</w:t>
      </w:r>
    </w:p>
    <w:p>
      <w:r>
        <w:t>接口为建议契约，正式 OpenAPI 在研发阶段定稿。所有请求需认证、授权、参数校验、请求 ID 与可读错误码。列表有分页和稳定排序；修改接口使用版本号或幂等键；不得在 URL 中携带长期凭据。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535"/>
        <w:gridCol w:w="2608"/>
      </w:tblGrid>
      <w:tr>
        <w:trPr>
          <w:tblHeader/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最小输入与输出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首版边界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文档上传与任务查询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知识库 文件 幂等键 → document_id version_id job_id；任务状态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异步；限制文件类型与大小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版本发布 重建 删除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资源 ID 预期版本 操作原因 → job_id/新版本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说明影响范围；仅删除/撤权立即停止访问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问答与消息查询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conversation_id knowledge_base_ids question request_id → SSE/消息状态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POST + fetch；复用请求避免重复调用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引用与文件读取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citation_id 或 document_version_id → 授权内容/短期下载入口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重查权限/效力；历史正文同样校验依赖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调试与评测运行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问题/数据集版本 配置版本 → run_id 与阶段结果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诊断权限；不得绕过查询身份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反馈与候选审核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message_id rating reason / case_id 审核结论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只能操作获授权对象；审计审核行为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配置与健康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预期版本 候选配置 / 服务状态 → 版本/脱敏健康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密钥只返回状态或引用，不返回原值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Widget 首版建议</w:t>
      </w:r>
    </w:p>
    <w:p>
      <w:r>
        <w:t>FR I01 仅在一个受控演示宿主页验证单文件脚本或包集成、样式隔离、打开/关闭、问答、停止、引用和错误恢复。由宿主可信后端验证员工身份，再签发短期、明确受众、知识库范围和权限版本的 token。浏览器中禁止长期 API Key、模型 Key 或签名密钥；CORS 与域名白名单只减少滥用，不能代替认证。</w:t>
      </w:r>
    </w:p>
    <w:p>
      <w:r>
        <w:t>脚本隔离可参考 IIFE 与 Shadow DOM；仍需测试焦点、键盘、窄屏、样式冲突和屏幕阅读。未经授权不能将企业文档发给第三方统计脚本。生产嵌入前补齐 token 更新、退出撤销、宿主登出联动、来源校验、内容安全策略和浏览器兼容性。</w:t>
      </w:r>
    </w:p>
    <w:p>
      <w:pPr>
        <w:pStyle w:val="Heading2"/>
      </w:pPr>
      <w:r>
        <w:rPr>
          <w:color w:val="000000"/>
        </w:rPr>
        <w:t>第二阶段 API Key 与 Webhook</w:t>
      </w:r>
    </w:p>
    <w:p>
      <w:r>
        <w:t>API Key 仅创建时展示一次，服务端存不可逆校验值，绑定企业、知识库、用途、限额、过期与撤销，并记录使用审计。Key 泄露后的轮换与撤销必须可验证。</w:t>
      </w:r>
    </w:p>
    <w:p>
      <w:r>
        <w:t>Webhook 需目的地址允许策略、SSRF 防护、签名和时间戳、防重放、有限重试、幂等 event_id 与失败队列；禁止向内网/元数据地址发送，重定向与 DNS 变化也须复核。未经评审不开放该入口。</w:t>
      </w:r>
    </w:p>
    <w:p>
      <w:pPr>
        <w:pStyle w:val="Heading1"/>
        <w:pageBreakBefore/>
      </w:pPr>
      <w:r>
        <w:rPr>
          <w:color w:val="000000"/>
        </w:rPr>
        <w:t>17  关键验收用例</w:t>
      </w:r>
    </w:p>
    <w:p>
      <w:r>
        <w:t>以下为首版必须执行的验收场景。Given 表示前置条件，When 表示触发行为，Then 表示可观察结果；截图存在不算测试通过。每条用例须留请求 ID、版本、截图或日志及执行结果。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324"/>
        <w:gridCol w:w="2211"/>
        <w:gridCol w:w="3855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Given 前置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When 行为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Then 验收结果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AC01 入库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有上传权限及支持格式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上传后等待任务完成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阶段可见；块和来源可核验；仅索引就绪且已发布/当前适用版本参与问答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AC02 拒绝文件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扫描件/加密/超限或空文件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上传或解析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明确失败原因；不显示已索引；不污染旧版本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AC03 幂等重试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同内容同任务已受理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重复提交或阶段恢复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不生成重复块/发布记录；调用尝试可追踪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AC04 更新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旧版可用，新版正在构建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新任务失败或成功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索引失败不破坏旧索引；未来内容版不顶替当前生效版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AC05 删除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文档有索引 引用和缓存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确认删除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立即停止后续读取/检索；后台清理可查，失败会告警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AC06 权限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用户只能访问知识库 A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改 ID 请求 B 的检索/历史/引用/调试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全部被拒；未授权正文不进模型或响应；无存在性泄露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AC07 撤权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用户有进行中流与旧引用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撤销知识库访问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后续输出停止；历史派生正文隐藏；摘要/缓存/上下文排除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AC08 引用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答案带真实及伪造 chunk 标识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服务端校验后显示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白名单/位置/版本校验；语义支撑与必要条件另由人工判定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AC09 拒答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无证据/冲突/越权/文档注入问题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发送问题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澄清或拒答；不编企业事实；不执行文档中的恶意指令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AC10 流与重连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请求已受理，收到部分 token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停止或网络断开再打开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标中断并排除草稿上下文；先查原ID，不自动重复生成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AC11 降级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重排超时或模型 429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运行问答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按批准策略有界回退/重试；显示降级；用量计入尝试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AC12 评测反馈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点踩产生候选，新配置待发布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人工审核 运行评测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候选审核后入新集；报告版本/分母；未通过不自动发布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AC13 Widget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受控宿主与短期受限 token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提问 过期 跨库访问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无长期 Key；过期/越权拒绝；引用与反馈正确关联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AC14 配置并发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两个管理员编辑同一版本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先后保存并改 embedding 维度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冲突不覆盖；模型/维度变化触发新索引而非混用</w:t>
            </w:r>
          </w:p>
        </w:tc>
      </w:tr>
    </w:tbl>
    <w:p>
      <w:pPr>
        <w:spacing w:after="0" w:line="60" w:lineRule="exact" w:before="0"/>
      </w:pPr>
    </w:p>
    <w:p>
      <w:r>
        <w:t>放行要求：适用的首版场景及下页五项重点用例全部通过；Widget未纳入时记范围外。质量与性能按第12章另报，功能用例通过不等于生产达标。</w:t>
      </w:r>
    </w:p>
    <w:p>
      <w:pPr>
        <w:pStyle w:val="Heading2"/>
        <w:pageBreakBefore/>
      </w:pPr>
      <w:r>
        <w:rPr>
          <w:color w:val="000000"/>
        </w:rPr>
        <w:t>五项重点需求的补充验收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324"/>
        <w:gridCol w:w="2154"/>
        <w:gridCol w:w="3798"/>
      </w:tblGrid>
      <w:tr>
        <w:trPr>
          <w:tblHeader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Given 前置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When 行为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Then 验收结果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AC15 场景边界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试点场景未确认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准备导入真实资料或招募试用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列出业务负责人/受众/主题/人工渠道待确认；不得宣称已选择HR或放开个资资料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AC16 业务成效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已确认场景及同组查询任务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比较原方式与试点方式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计时到可用答案核对完成；分别报成功/失败/放弃、合理转交及后续解决，不用TTFT替代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AC17 未来生效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旧规当前有效，新规下月生效且已索引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今天问当前政策，再按下月日期提问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今天用旧规；未来问题明确时点并用已批准新规；上传时间不决定效力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AC18 条件与冲突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两份规则适用条件不同或互相冲突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问题缺部门/人群，或无优先级可判断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先澄清决定性条件；未解冲突拒绝确定结论并转指定人工渠道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AC19 引用分层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引用ID/页码均真实，但证据不支持结论或遗漏关键例外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执行完整性校验并人工评分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完整性可通过，语义/完整度必须失败；不得显示答案已自动验真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AC20 流式失败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已发草稿且引用待验证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最终发现伪造ID/错版本或中途撤权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停止后续流，正常答案区移除草稿并留错误；排除摘要/缓存/上下文；说明已见内容无法收回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AC21 同受众库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员工公共库收到个人薪资或仅少数人可读材料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运营尝试发布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拒绝进入公共库；移至范围匹配的受限库需另行授权，不能只靠提示词隐藏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AC22 历史撤权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旧答案/摘要含现已撤权来源，或依赖不完整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打开历史并继续对话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保守隐藏整条派生正文，引用/摘要/缓存/模型上下文均不能复用；保留无正文状态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AC23 历史效力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旧规正常到期但用户仍获授权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查看旧答案，然后问当前规定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历史可按策略带当时时点展示；当前问答重新检索现行规则，不复用旧事实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AC24 样本解释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拒答类仅5题且0错误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生成评测报告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报0/5与样本局限；不得宣称已证明生产错误率≤5%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AC25 稳定真值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同一来源内容与事实真值，两个不同切块参数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运行检索和回答对照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分别建立来源位置到各自块的映射，使用相同必要事实；不以旧chunkID误判新方案</w:t>
            </w:r>
          </w:p>
        </w:tc>
      </w:tr>
    </w:tbl>
    <w:p>
      <w:pPr>
        <w:spacing w:after="0" w:line="60" w:lineRule="exact" w:before="0"/>
      </w:pPr>
    </w:p>
    <w:p>
      <w:r>
        <w:t>以上均需留来源版本、权限/效力快照、数据集版本及可复核结果。人工语义评分记录标注者和理由；失败用例不能通过改分母、换真值或隐藏错误转为成功。</w:t>
      </w:r>
    </w:p>
    <w:p>
      <w:pPr>
        <w:pStyle w:val="Heading1"/>
        <w:pageBreakBefore/>
      </w:pPr>
      <w:r>
        <w:rPr>
          <w:color w:val="000000"/>
        </w:rPr>
        <w:t>18  测试策略与完成标准</w:t>
      </w:r>
    </w:p>
    <w:p>
      <w:r>
        <w:t>每次修改代码后先运行受影响模块的单元测试；修复缺陷先补可复现测试。合并前再运行相关集成测试与关键端到端测试。不得只以编译成功、页面能打开或模型给出一次答案判定完成。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046"/>
        <w:gridCol w:w="2891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覆盖内容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执行及证据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单元测试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切块边界 页码映射 hash/幂等 状态转移 有效区间/替代关系 引用白名单 来源依赖失效 指标公式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每次修改后；记录命令 测试数 失败数与版本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数据库集成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事务发布 删除/撤权历史清理 未来/当前版本并存 任务恢复 pgvector维度 过滤召回 缓存授权版本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真实 PostgreSQL/pgvector；固定测试数据和迁移版本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模型契约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embedding长度 批量限制 SSE解析 429/5xx 超时取消 token统计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先模拟故障；授权后用非敏感样本验证真实服务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前后端契约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分页 校验 幂等冲突 SSE事件 终态 引用/历史/摘要效力失效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自动化接口断言；错误码与UI文案一致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登录→上传→索引就绪→业务发布→问答→反馈→评测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至少三角色；覆盖当前/未来/历史、草稿失败、刷新和撤权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安全回归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跨企业/跨库对象访问 提示注入 恶意文件 XSS 日志泄密 撤权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负向用例单列；任一越权披露阻止上线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性能与韧性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固定并发与语料下延迟 内存 任务积压 流断开 服务重启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记录CPU/RAM/版本/样本数；P95与失败率一起报告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测试数据与环境</w:t>
      </w:r>
    </w:p>
    <w:p>
      <w:r>
        <w:t>将开发、试点和生产环境分离，配置与凭据按环境注入。测试文件必须已授权或合成，并带可复现的期望结果。真实文档和聊天正文不得复制进公开仓库、截图示例或默认日志。外部服务的真实调用需先确认数据许可与预算。</w:t>
      </w:r>
    </w:p>
    <w:p>
      <w:pPr>
        <w:pStyle w:val="Heading2"/>
      </w:pPr>
      <w:r>
        <w:rPr>
          <w:color w:val="000000"/>
        </w:rPr>
        <w:t>前端可用性</w:t>
      </w:r>
    </w:p>
    <w:p>
      <w:r>
        <w:t>表格可横向滚动且操作列可见；固定底栏不遮内容；键盘焦点可达；长文件名和中文段落不截断关键语义。按钮显示 loading 并防重复提交；不支持格式、不可用组件和未启用阶段有真实说明。Widget 验证 320 px 起始窄屏、桌面展开和收起，具体浏览器版本在试点前确定。</w:t>
      </w:r>
    </w:p>
    <w:p>
      <w:pPr>
        <w:pStyle w:val="Heading2"/>
      </w:pPr>
      <w:r>
        <w:rPr>
          <w:color w:val="000000"/>
        </w:rPr>
        <w:t>完成标准</w:t>
      </w:r>
    </w:p>
    <w:p>
      <w:r>
        <w:t>功能对应需求与用例，代码评审完成，单元/集成/端到端结果留存，迁移与回滚脚本验证，监控与错误文案落地，无未关闭高危缺陷。文档、OpenAPI、配置说明与部署说明同步更新。阻塞项列出影响范围与负责人，不能把“后续补”作为通过。</w:t>
      </w:r>
    </w:p>
    <w:p>
      <w:pPr>
        <w:pStyle w:val="Heading1"/>
        <w:pageBreakBefore/>
      </w:pPr>
      <w:r>
        <w:rPr>
          <w:color w:val="000000"/>
        </w:rPr>
        <w:t>19  部署 运维与成本</w:t>
      </w:r>
    </w:p>
    <w:p>
      <w:pPr>
        <w:pStyle w:val="Heading2"/>
      </w:pPr>
      <w:r>
        <w:rPr>
          <w:color w:val="000000"/>
        </w:rPr>
        <w:t>部署基线</w:t>
      </w:r>
    </w:p>
    <w:p>
      <w:r>
        <w:t>建议先用单实例模块化服务、独立 PostgreSQL/pgvector、受控文件存储和后台任务实现试点。若启用重排，单独预留进程与资源，不和数据库争抢内存。CPU、内存、磁盘、文档总量、向量维度、并发与上下文长度必须纳入容量测试；无实测时不承诺某台小主机可承载。</w:t>
      </w:r>
    </w:p>
    <w:p>
      <w:r>
        <w:t>数据库账户按最小权限区分应用运行、迁移与备份。网络只开放必需入口；传输使用 TLS，凭据由安全配置注入，仓库与前端不包含真实密钥。升级锁定应用、依赖、数据库、pgvector 和模型适配版本。</w:t>
      </w:r>
    </w:p>
    <w:p>
      <w:pPr>
        <w:pStyle w:val="Heading2"/>
      </w:pPr>
      <w:r>
        <w:rPr>
          <w:color w:val="000000"/>
        </w:rPr>
        <w:t>运行检查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5"/>
        <w:gridCol w:w="28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必须能够看到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异常动作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服务存活/就绪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进程活性；数据库/索引/任务依赖分别健康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就绪失败不接新请求；存活不等于依赖正常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数据新鲜度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活动文档版本 入库耗时 失败数 积压 最后成功时间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超时/长期积压告警；定位job和阶段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模型与检索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调用失败率 429 超时 降级率 候选不足率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有界重试与熔断；不静默切未批准供应商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体验与用量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TTFT/总延迟分位 并发 token 调用次数 估算费用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软阈值告警 硬阈值阻止新调用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安全与审计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鉴权失败 撤权传播 配置/发布/删除记录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可疑访问告警；日志脱敏及访问控制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预算规则</w:t>
      </w:r>
    </w:p>
    <w:p>
      <w:r>
        <w:t>“免费模型”只能作为当前候选服务的价格条件，不能推出系统零成本。预算需同时覆盖生成、embedding、重排 CPU、数据库、文件存储、备份和日志；每种服务记录币种、计价单位、价格来源与更新时间，未知价格不填 0。</w:t>
      </w:r>
    </w:p>
    <w:p>
      <w:r>
        <w:t>设置每用户/知识库/企业的请求数、并发、输入输出 token、单任务重试和每日预算上限。发生重试按实际尝试累计；预估费用与账单核对值分列。达到软上限提示，硬上限拒绝新调用并保留任务状态；具体金额与是否允许付费兜底待确认。</w:t>
      </w:r>
    </w:p>
    <w:p>
      <w:pPr>
        <w:pStyle w:val="Heading2"/>
      </w:pPr>
      <w:r>
        <w:rPr>
          <w:color w:val="000000"/>
        </w:rPr>
        <w:t>备份 恢复与保留</w:t>
      </w:r>
    </w:p>
    <w:p>
      <w:r>
        <w:t>备份数据库、源文件、活动配置及索引版本关系，记录校验和。试点前在隔离环境完成一次恢复演练，验证文档可读、引用可追溯和权限一致；向量可重建不等于源文件可丢失。RPO/RTO、文件/会话/轨迹/审计保留期、备份到期删除和恢复后撤权重放需共同确认。</w:t>
      </w:r>
    </w:p>
    <w:p>
      <w:pPr>
        <w:pStyle w:val="Heading1"/>
        <w:pageBreakBefore/>
      </w:pPr>
      <w:r>
        <w:rPr>
          <w:color w:val="000000"/>
        </w:rPr>
        <w:t>20  三周计划与交付顺序</w:t>
      </w:r>
    </w:p>
    <w:p>
      <w:r>
        <w:t>这是建议试点计划，不是已确认交付承诺。按前置条件齐备后起算，不给出未经验证的人日保证。若文档质量、模型可用性、权限或环境准备未过关，应先解决阻塞项，再调整日期与范围。</w:t>
      </w:r>
    </w:p>
    <w:p>
      <w:pPr>
        <w:pStyle w:val="Heading2"/>
      </w:pPr>
      <w:r>
        <w:rPr>
          <w:color w:val="000000"/>
        </w:rPr>
        <w:t>开工前准备</w:t>
      </w:r>
    </w:p>
    <w:p>
      <w:pPr>
        <w:pStyle w:val="ListBullet"/>
      </w:pPr>
      <w:r>
        <w:t>场景和验收表：确认首个业务主题、负责人、试点用户、人工兜底与成效口径，再确认第一/二阶段边界。</w:t>
      </w:r>
    </w:p>
    <w:p>
      <w:pPr>
        <w:pStyle w:val="ListBullet"/>
      </w:pPr>
      <w:r>
        <w:t>10–20 份获授权样本文档：负责人、受众、时点和替代关系已确认；覆盖当前/未来/冲突版本，含异常文件拒绝测试。</w:t>
      </w:r>
    </w:p>
    <w:p>
      <w:pPr>
        <w:pStyle w:val="ListBullet"/>
      </w:pPr>
      <w:r>
        <w:t>30–50 条试点标注问题：原文位置、必要事实、适用条件、时点、拒答/转交与权限标签齐全；固定留出集并披露小类别样本不足。</w:t>
      </w:r>
    </w:p>
    <w:p>
      <w:pPr>
        <w:pStyle w:val="ListBullet"/>
      </w:pPr>
      <w:r>
        <w:t>角色 × 知识库 × 操作矩阵：确认文档管理员、诊断查看者与普通员工的实际成员。</w:t>
      </w:r>
    </w:p>
    <w:p>
      <w:pPr>
        <w:pStyle w:val="ListBullet"/>
      </w:pPr>
      <w:r>
        <w:t>环境与接口清单：依赖版本、模型数据许可、真实维度、预算、超时/限流、失败策略可验证。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989"/>
        <w:gridCol w:w="3288"/>
      </w:tblGrid>
      <w:tr>
        <w:trPr>
          <w:tblHeader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交付重点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第 1 周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环境与模型契约验证；基础登录/权限；限定格式入库；异步任务与失败恢复；一问一答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授权且效力已确认的样本稳定入库；未来版本不覆盖现行；越权负例通过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第 2 周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可核验引用与拒答；SSE与历史；主要前端；更新/删除/撤权一致性；向量检索基线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核心用例与新增效力/历史用例可复现；引用完整性和人工语义评分分开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第 3 周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六阶段轨迹；反馈候选与人工审核；回归评测；故障测试；部署与恢复演练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安全回归通过；质量/业务成效可解释且承认小样本局限；运维和交付文档齐全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有余量时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混合检索或重排二选一做对照；受控Widget演示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先证明基线稳定，并确认资源和安全边界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第二阶段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OCR与复杂格式 ES 生产Widget API Key完整控制台 Webhook SSO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按明确使用需求单独评审，补各自验收及风险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每周演示材料</w:t>
      </w:r>
    </w:p>
    <w:p>
      <w:r>
        <w:t>使用同一组代表性场景演示可用与失败路径：成功入库、文档异常、权限拒绝、引用正确、证据不足、撤权或删除、模型超时及反馈回归。交付包含运行说明、版本清单、测试结果、已知限制与下周待决事项。</w:t>
      </w:r>
    </w:p>
    <w:p>
      <w:pPr>
        <w:pStyle w:val="Heading2"/>
      </w:pPr>
      <w:r>
        <w:rPr>
          <w:color w:val="000000"/>
        </w:rPr>
        <w:t>延期时的取舍顺序</w:t>
      </w:r>
    </w:p>
    <w:p>
      <w:r>
        <w:t>先移出重排、混合检索优化、受控 Widget、复杂图表和完整集成台，保留权限、引用、拒答、删除一致性及可复现评测。不应将安全校验、幂等或错误处理作为“第二阶段再补”的内容。</w:t>
      </w:r>
    </w:p>
    <w:p>
      <w:pPr>
        <w:pStyle w:val="Heading1"/>
        <w:pageBreakBefore/>
      </w:pPr>
      <w:r>
        <w:rPr>
          <w:color w:val="000000"/>
        </w:rPr>
        <w:t>21  修订记录与待确认决策</w:t>
      </w:r>
    </w:p>
    <w:p>
      <w:r>
        <w:t>v0.3 根据需求评审补齐五项重点：第2章限定拟议业务试点及成效测量；第7章拆分索引和业务效力；第9–10章拆分引用校验与语义支撑并明确草稿流失败处理；第3、9章补齐同受众拆库及历史/摘要撤权；第12章采用来源位置与必要事实真值并限制小样本结论。第17章新增AC15–AC25。上述场景、阈值和策略仍为建议，未替用户作业务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855"/>
        <w:gridCol w:w="3742"/>
      </w:tblGrid>
      <w:tr>
        <w:trPr>
          <w:tblHeader/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信号与影响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模型或配额不可用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真实路由未启用、429、免费政策变动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先做经授权的非敏感契约验证；保留供应商替换接口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数据外发未获允许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企业文档涉及敏感或受限信息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先明确可用资料范围与模型目的地；未获批准不发送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向量维度不兼容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2048默认与vector HNSW2000上限冲突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真实响应验证后选低维或halfvec；禁止手动截断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解析失真与陈旧证据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页码错位、表格乱序、未来制度误覆盖当前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来源血缘 人工审批 有效期/受众判定 明确格式限制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检索/评测失真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过滤后不足K、错误指标、留出集污染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精确基线 逐例复核 指标定义 数据集版本与审核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接口或嵌入泄露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长期Key、混受众库、撤权后历史/摘要绕ACL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同受众拆库 短期身份令牌 来源依赖复核 负向测试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范围超过三周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同时引入ES/OCR/SSO/Webhook等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按第20章顺序削减；不牺牲安全及数据一致性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rPr>
          <w:color w:val="000000"/>
        </w:rPr>
        <w:t>待确认清单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706"/>
        <w:gridCol w:w="2551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本版建议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DF3"/>
          </w:tcPr>
          <w:p>
            <w:pPr>
              <w:spacing w:after="20" w:line="264" w:lineRule="exact"/>
            </w:pPr>
            <w:r>
              <w:rPr>
                <w:b/>
                <w:sz w:val="18"/>
              </w:rPr>
              <w:t>由谁确认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D01 首个业务场景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候选为员工公开HR流程；确认主题、资料负责人、试点用户与人工兜底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产品 + 业务负责人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D02 权限与业务效力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同受众知识库；明确适用人群、时间区间、审批与替代关系；排除个人薪资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业务 + 数据负责人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D03 数据与流式策略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批准模型目的地与数据范围；默认草稿流失败移除，严格缓冲模式另定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数据 + 技术负责人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D04 成效与质量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查询完成/人工转交基线；独立评测真值；生产样本量和阈值不得由种子集推定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业务 + 测试负责人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D05 保留与恢复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分别规定文件/聊天/轨迹/审计/备份；确认RPO/RTO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数据负责人 + 运维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D06 容量预算与集成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文档格式/20MB建议上限、并发/每日预算；受控Widget可选，SSO等延后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spacing w:after="20" w:line="264" w:lineRule="exact"/>
            </w:pPr>
            <w:r>
              <w:rPr>
                <w:b w:val="0"/>
                <w:sz w:val="18"/>
              </w:rPr>
              <w:t>产品 + 技术 + 运维</w:t>
            </w:r>
          </w:p>
        </w:tc>
      </w:tr>
    </w:tbl>
    <w:p>
      <w:pPr>
        <w:spacing w:after="0" w:line="60" w:lineRule="exact" w:before="0"/>
      </w:pPr>
    </w:p>
    <w:p>
      <w:r>
        <w:t>负责人名称和实际日期由项目评审补齐。批准后形成范围基线；新需求说明收益、工作量、数据影响和需要替换的原范围。未决定的项保持可配置或阻止高风险动作，不能用默认同意补齐。</w:t>
      </w:r>
    </w:p>
    <w:p>
      <w:pPr>
        <w:pStyle w:val="Heading1"/>
        <w:pageBreakBefore/>
      </w:pPr>
      <w:r>
        <w:rPr>
          <w:color w:val="000000"/>
        </w:rPr>
        <w:t>22  设计与技术参考</w:t>
      </w:r>
    </w:p>
    <w:p>
      <w:r>
        <w:t>设计中的数值、对话、指标和模型名称为画面内容，不能作为运行证据。技术与复用结论对应以下官方资料或固定提交；开发前需再次核对依赖版本、服务条款、账号资格和价格。</w:t>
      </w:r>
    </w:p>
    <w:p>
      <w:pPr>
        <w:pStyle w:val="Heading2"/>
      </w:pPr>
      <w:r>
        <w:rPr>
          <w:color w:val="000000"/>
        </w:rPr>
        <w:t>设计来源</w:t>
      </w:r>
    </w:p>
    <w:p>
      <w:hyperlink r:id="rId22">
        <w:r>
          <w:rPr>
            <w:color w:val="195680"/>
            <w:sz w:val="19"/>
          </w:rPr>
          <w:t>Figma 知库 RAG 设计文件及 12 页入口</w:t>
        </w:r>
      </w:hyperlink>
    </w:p>
    <w:p>
      <w:r>
        <w:t>节点：总览 1:2；文档 2:2；问答 2:159；调试 2:255；评测 2:411；设置 2:641；状态根画板 4:3；权限 7:2；登录 7:173；集成 7:213；反馈 7:591；挂件根画板 16:3。第 4–5 章提供逐页链接。</w:t>
      </w:r>
    </w:p>
    <w:p>
      <w:pPr>
        <w:pStyle w:val="Heading2"/>
      </w:pPr>
      <w:r>
        <w:rPr>
          <w:color w:val="000000"/>
        </w:rPr>
        <w:t>官方技术资料</w:t>
      </w:r>
    </w:p>
    <w:p>
      <w:hyperlink r:id="rId23">
        <w:r>
          <w:rPr>
            <w:color w:val="195680"/>
            <w:sz w:val="19"/>
          </w:rPr>
          <w:t>[S1] Spring AI 版本与 Spring Boot 兼容说明</w:t>
        </w:r>
      </w:hyperlink>
    </w:p>
    <w:p>
      <w:hyperlink r:id="rId24">
        <w:r>
          <w:rPr>
            <w:color w:val="195680"/>
            <w:sz w:val="19"/>
          </w:rPr>
          <w:t>[S2] pgvector HNSW 维度限制与过滤检索说明</w:t>
        </w:r>
      </w:hyperlink>
    </w:p>
    <w:p>
      <w:hyperlink r:id="rId25">
        <w:r>
          <w:rPr>
            <w:color w:val="195680"/>
            <w:sz w:val="19"/>
          </w:rPr>
          <w:t>[S2 补充] pgvector 过滤与迭代扫描</w:t>
        </w:r>
      </w:hyperlink>
    </w:p>
    <w:p>
      <w:hyperlink r:id="rId26">
        <w:r>
          <w:rPr>
            <w:color w:val="195680"/>
            <w:sz w:val="19"/>
          </w:rPr>
          <w:t>[S3] Spring AI 智谱 Embedding 模型与 dimensions 配置</w:t>
        </w:r>
      </w:hyperlink>
    </w:p>
    <w:p>
      <w:hyperlink r:id="rId27">
        <w:r>
          <w:rPr>
            <w:color w:val="195680"/>
            <w:sz w:val="19"/>
          </w:rPr>
          <w:t>[S4] BAAI bge-reranker-v2-m3 官方模型卡</w:t>
        </w:r>
      </w:hyperlink>
    </w:p>
    <w:p>
      <w:hyperlink r:id="rId28">
        <w:r>
          <w:rPr>
            <w:color w:val="195680"/>
            <w:sz w:val="19"/>
          </w:rPr>
          <w:t>[S5] 智谱 GLM 4.7 Flash 官方发布公告</w:t>
        </w:r>
      </w:hyperlink>
    </w:p>
    <w:p>
      <w:hyperlink r:id="rId29">
        <w:r>
          <w:rPr>
            <w:color w:val="195680"/>
            <w:sz w:val="19"/>
          </w:rPr>
          <w:t>[S6] WHATWG Server sent events 与 EventSource 接口</w:t>
        </w:r>
      </w:hyperlink>
    </w:p>
    <w:p>
      <w:hyperlink r:id="rId30">
        <w:r>
          <w:rPr>
            <w:color w:val="195680"/>
            <w:sz w:val="19"/>
          </w:rPr>
          <w:t>[S7] PostgreSQL 16 全文检索控制与排名</w:t>
        </w:r>
      </w:hyperlink>
    </w:p>
    <w:p>
      <w:hyperlink r:id="rId31">
        <w:r>
          <w:rPr>
            <w:color w:val="195680"/>
            <w:sz w:val="19"/>
          </w:rPr>
          <w:t>[S8] Spring 任务执行与异步机制</w:t>
        </w:r>
      </w:hyperlink>
    </w:p>
    <w:p>
      <w:hyperlink r:id="rId32">
        <w:r>
          <w:rPr>
            <w:color w:val="195680"/>
            <w:sz w:val="19"/>
          </w:rPr>
          <w:t>[S9] ONNX Runtime 量化及精度评估</w:t>
        </w:r>
      </w:hyperlink>
    </w:p>
    <w:p>
      <w:pPr>
        <w:pStyle w:val="Heading2"/>
      </w:pPr>
      <w:r>
        <w:rPr>
          <w:color w:val="000000"/>
        </w:rPr>
        <w:t>已有项目固定版本</w:t>
      </w:r>
    </w:p>
    <w:p>
      <w:hyperlink r:id="rId33">
        <w:r>
          <w:rPr>
            <w:color w:val="195680"/>
            <w:sz w:val="19"/>
          </w:rPr>
          <w:t>[R1] TableDine d94b85b 部署配置</w:t>
        </w:r>
      </w:hyperlink>
    </w:p>
    <w:p>
      <w:hyperlink r:id="rId34">
        <w:r>
          <w:rPr>
            <w:color w:val="195680"/>
            <w:sz w:val="19"/>
          </w:rPr>
          <w:t>[R2] general free 591abc2 路由策略</w:t>
        </w:r>
      </w:hyperlink>
    </w:p>
    <w:p>
      <w:hyperlink r:id="rId35">
        <w:r>
          <w:rPr>
            <w:color w:val="195680"/>
            <w:sz w:val="19"/>
          </w:rPr>
          <w:t>[R2 补充] general free 协议范围</w:t>
        </w:r>
      </w:hyperlink>
    </w:p>
    <w:p>
      <w:hyperlink r:id="rId36">
        <w:r>
          <w:rPr>
            <w:color w:val="195680"/>
            <w:sz w:val="19"/>
          </w:rPr>
          <w:t>[R3] AssistFlow 273a1666 Widget 与接口说明</w:t>
        </w:r>
      </w:hyperlink>
    </w:p>
    <w:p>
      <w:hyperlink r:id="rId37">
        <w:r>
          <w:rPr>
            <w:color w:val="195680"/>
            <w:sz w:val="19"/>
          </w:rPr>
          <w:t>[R3 补充] 53 条演示 FAQ 数据</w:t>
        </w:r>
      </w:hyperlink>
    </w:p>
    <w:p>
      <w:hyperlink r:id="rId38">
        <w:r>
          <w:rPr>
            <w:color w:val="195680"/>
            <w:sz w:val="19"/>
          </w:rPr>
          <w:t>[R3 补充] MIT 许可</w:t>
        </w:r>
      </w:hyperlink>
    </w:p>
    <w:p>
      <w:r>
        <w:t>核验说明：固定提交证明仓库在该版本的内容，不证明线上部署状态、供应商额度或实际模型调用已通过。免费公告不覆盖 embedding、基础设施与日志成本。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0"/>
        <w:sz w:val="16"/>
      </w:rPr>
      <w:t xml:space="preserve">知库 RAG 产品需求  v0.3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0" w:lineRule="exact"/>
      <w:wordWrap w:val="0"/>
    </w:pPr>
    <w:rPr>
      <w:rFonts w:ascii="Noto Sans CJK SC" w:hAnsi="Noto Sans CJK SC" w:eastAsia="Noto Sans CJK SC"/>
      <w:color w:val="000000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ordWrap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ordWrap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40" w:lineRule="exact"/>
      <w:outlineLvl w:val="0"/>
      <w:wordWrap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40" w:lineRule="exact"/>
      <w:outlineLvl w:val="1"/>
      <w:wordWrap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310" w:lineRule="exact"/>
      <w:outlineLvl w:val="2"/>
      <w:wordWrap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wordWrap w:val="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wordWrap w:val="0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wordWrap w:val="0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wordWrap w:val="0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wordWrap w:val="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wordWrap w:val="0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wordWrap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660" w:lineRule="exact"/>
      <w:contextualSpacing/>
      <w:wordWrap w:val="0"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 w:line="320" w:lineRule="exact"/>
      <w:wordWrap w:val="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wordWrap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wordWrap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wordWrap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wordWrap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wordWrap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wordWrap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wordWrap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20" w:lineRule="exact"/>
      <w:contextualSpacing/>
      <w:wordWrap w:val="0"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wordWrap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wordWrap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20" w:lineRule="exact"/>
      <w:contextualSpacing/>
      <w:wordWrap w:val="0"/>
    </w:pPr>
    <w:rPr>
      <w:rFonts w:ascii="Noto Sans CJK SC" w:hAnsi="Noto Sans CJK SC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wordWrap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wordWrap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wordWrap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wordWrap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wordWrap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wordWrap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ordWrap w:val="0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wordWrap w:val="0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wordWrap w:val="0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wordWrap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figma.com/design/YBFjwiptws9GWKPgFb7K6L?node-id=1-2" TargetMode="External"/><Relationship Id="rId11" Type="http://schemas.openxmlformats.org/officeDocument/2006/relationships/hyperlink" Target="https://www.figma.com/design/YBFjwiptws9GWKPgFb7K6L?node-id=2-2" TargetMode="External"/><Relationship Id="rId12" Type="http://schemas.openxmlformats.org/officeDocument/2006/relationships/hyperlink" Target="https://www.figma.com/design/YBFjwiptws9GWKPgFb7K6L?node-id=2-159" TargetMode="External"/><Relationship Id="rId13" Type="http://schemas.openxmlformats.org/officeDocument/2006/relationships/hyperlink" Target="https://www.figma.com/design/YBFjwiptws9GWKPgFb7K6L?node-id=2-255" TargetMode="External"/><Relationship Id="rId14" Type="http://schemas.openxmlformats.org/officeDocument/2006/relationships/hyperlink" Target="https://www.figma.com/design/YBFjwiptws9GWKPgFb7K6L?node-id=2-411" TargetMode="External"/><Relationship Id="rId15" Type="http://schemas.openxmlformats.org/officeDocument/2006/relationships/hyperlink" Target="https://www.figma.com/design/YBFjwiptws9GWKPgFb7K6L?node-id=2-641" TargetMode="External"/><Relationship Id="rId16" Type="http://schemas.openxmlformats.org/officeDocument/2006/relationships/hyperlink" Target="https://www.figma.com/design/YBFjwiptws9GWKPgFb7K6L?node-id=4-3" TargetMode="External"/><Relationship Id="rId17" Type="http://schemas.openxmlformats.org/officeDocument/2006/relationships/hyperlink" Target="https://www.figma.com/design/YBFjwiptws9GWKPgFb7K6L?node-id=7-2" TargetMode="External"/><Relationship Id="rId18" Type="http://schemas.openxmlformats.org/officeDocument/2006/relationships/hyperlink" Target="https://www.figma.com/design/YBFjwiptws9GWKPgFb7K6L?node-id=7-173" TargetMode="External"/><Relationship Id="rId19" Type="http://schemas.openxmlformats.org/officeDocument/2006/relationships/hyperlink" Target="https://www.figma.com/design/YBFjwiptws9GWKPgFb7K6L?node-id=7-213" TargetMode="External"/><Relationship Id="rId20" Type="http://schemas.openxmlformats.org/officeDocument/2006/relationships/hyperlink" Target="https://www.figma.com/design/YBFjwiptws9GWKPgFb7K6L?node-id=7-591" TargetMode="External"/><Relationship Id="rId21" Type="http://schemas.openxmlformats.org/officeDocument/2006/relationships/hyperlink" Target="https://www.figma.com/design/YBFjwiptws9GWKPgFb7K6L?node-id=16-3" TargetMode="External"/><Relationship Id="rId22" Type="http://schemas.openxmlformats.org/officeDocument/2006/relationships/hyperlink" Target="https://www.figma.com/design/YBFjwiptws9GWKPgFb7K6L" TargetMode="External"/><Relationship Id="rId23" Type="http://schemas.openxmlformats.org/officeDocument/2006/relationships/hyperlink" Target="https://github.com/spring-projects/spring-ai#spring-ai" TargetMode="External"/><Relationship Id="rId24" Type="http://schemas.openxmlformats.org/officeDocument/2006/relationships/hyperlink" Target="https://github.com/pgvector/pgvector#hnsw" TargetMode="External"/><Relationship Id="rId25" Type="http://schemas.openxmlformats.org/officeDocument/2006/relationships/hyperlink" Target="https://github.com/pgvector/pgvector#filtering" TargetMode="External"/><Relationship Id="rId26" Type="http://schemas.openxmlformats.org/officeDocument/2006/relationships/hyperlink" Target="https://docs.spring.io/spring-ai/reference/1.0/api/embeddings/zhipuai-embeddings.html" TargetMode="External"/><Relationship Id="rId27" Type="http://schemas.openxmlformats.org/officeDocument/2006/relationships/hyperlink" Target="https://huggingface.co/BAAI/bge-reranker-v2-m3" TargetMode="External"/><Relationship Id="rId28" Type="http://schemas.openxmlformats.org/officeDocument/2006/relationships/hyperlink" Target="https://www.zhipuai.cn/zh/news/148" TargetMode="External"/><Relationship Id="rId29" Type="http://schemas.openxmlformats.org/officeDocument/2006/relationships/hyperlink" Target="https://html.spec.whatwg.org/multipage/server-sent-events.html" TargetMode="External"/><Relationship Id="rId30" Type="http://schemas.openxmlformats.org/officeDocument/2006/relationships/hyperlink" Target="https://www.postgresql.org/docs/16/textsearch-controls.html" TargetMode="External"/><Relationship Id="rId31" Type="http://schemas.openxmlformats.org/officeDocument/2006/relationships/hyperlink" Target="https://docs.spring.io/spring-framework/reference/integration/scheduling.html" TargetMode="External"/><Relationship Id="rId32" Type="http://schemas.openxmlformats.org/officeDocument/2006/relationships/hyperlink" Target="https://onnxruntime.ai/docs/performance/model-optimizations/quantization.html" TargetMode="External"/><Relationship Id="rId33" Type="http://schemas.openxmlformats.org/officeDocument/2006/relationships/hyperlink" Target="https://github.com/suijiafeng/ordering-platform-tabledine/blob/d94b85bae3f15ddca00810f604dc26382e898f59/deploy/docker-compose.yml" TargetMode="External"/><Relationship Id="rId34" Type="http://schemas.openxmlformats.org/officeDocument/2006/relationships/hyperlink" Target="https://github.com/suijiafeng/personal-free-ai-gateway/blob/591abc200adcf9ee8942d33bc8a3b35933b1d1d4/config/policy.yaml" TargetMode="External"/><Relationship Id="rId35" Type="http://schemas.openxmlformats.org/officeDocument/2006/relationships/hyperlink" Target="https://github.com/suijiafeng/personal-free-ai-gateway/blob/591abc200adcf9ee8942d33bc8a3b35933b1d1d4/docs/protocol.md" TargetMode="External"/><Relationship Id="rId36" Type="http://schemas.openxmlformats.org/officeDocument/2006/relationships/hyperlink" Target="https://github.com/suijiafeng/ai-customer-support-chat/blob/273a1666e4a7c7ec1a7a5b9a033536f9ba6f6ba8/README.md" TargetMode="External"/><Relationship Id="rId37" Type="http://schemas.openxmlformats.org/officeDocument/2006/relationships/hyperlink" Target="https://github.com/suijiafeng/ai-customer-support-chat/blob/273a1666e4a7c7ec1a7a5b9a033536f9ba6f6ba8/apps/server/data/faqs.json" TargetMode="External"/><Relationship Id="rId38" Type="http://schemas.openxmlformats.org/officeDocument/2006/relationships/hyperlink" Target="https://github.com/suijiafeng/ai-customer-support-chat/blob/273a1666e4a7c7ec1a7a5b9a033536f9ba6f6ba8/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知库 RAG 产品需求文档</dc:title>
  <dc:subject>MVP 范围 功能设计 验收与实施约束</dc:subject>
  <dc:creator/>
  <cp:keywords>知库,RAG,PRD,MVP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