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等线" w:hAnsi="等线" w:eastAsia="等线"/>
          <w:b/>
          <w:sz w:val="35"/>
        </w:rPr>
        <w:t>北京上海天津深圳建筑垃圾处理流程与分类调研报告</w:t>
      </w:r>
    </w:p>
    <w:p>
      <w:pPr>
        <w:spacing w:after="360"/>
        <w:jc w:val="center"/>
      </w:pPr>
      <w:r>
        <w:rPr>
          <w:rFonts w:ascii="等线" w:hAnsi="等线" w:eastAsia="等线"/>
          <w:b w:val="0"/>
          <w:sz w:val="22"/>
        </w:rPr>
        <w:t>面向创新大赛的资料梳理，含统一分类表与四城流程对照</w:t>
        <w:br/>
        <w:t>资料整理日期：2026年10月19日</w:t>
      </w:r>
    </w:p>
    <w:p>
      <w:pPr>
        <w:spacing w:before="320" w:after="120"/>
      </w:pPr>
      <w:r>
        <w:rPr>
          <w:rFonts w:ascii="等线" w:hAnsi="等线" w:eastAsia="等线"/>
          <w:b/>
          <w:sz w:val="30"/>
        </w:rPr>
        <w:t>一、调研结论摘要</w:t>
      </w:r>
    </w:p>
    <w:p>
      <w:pPr>
        <w:spacing w:after="120" w:line="324" w:lineRule="auto"/>
        <w:ind w:firstLine="440"/>
      </w:pPr>
      <w:r>
        <w:rPr>
          <w:rFonts w:ascii="等线" w:hAnsi="等线" w:eastAsia="等线"/>
          <w:b w:val="0"/>
          <w:sz w:val="22"/>
        </w:rPr>
        <w:t>四座城市对建筑垃圾的管理已经形成"源头减量、分类收集、规范运输、中转分拣、消纳利用、全程监管"的共同框架，差异集中在分类粒度、申报方式、运输准入和资源化产品推广力度上。</w:t>
      </w:r>
    </w:p>
    <w:p>
      <w:pPr>
        <w:spacing w:after="120" w:line="324" w:lineRule="auto"/>
        <w:ind w:firstLine="440"/>
      </w:pPr>
      <w:r>
        <w:rPr>
          <w:rFonts w:ascii="等线" w:hAnsi="等线" w:eastAsia="等线"/>
          <w:b w:val="0"/>
          <w:sz w:val="22"/>
        </w:rPr>
        <w:t>分类口径上，国家层面已统一为工程渣土、工程泥浆、工程垃圾、拆除垃圾、装修垃圾五类；北京采用"弃土、弃料及其他固体废物"的处置分类，上海把建筑垃圾分为建设工程垃圾和装修垃圾两类，深圳则明确为工程渣土、拆除废弃物、工程泥浆、施工废弃物、装修废弃物五类。名称不同但可一一映射，统一五类口径是跨城市比较的基础。</w:t>
      </w:r>
    </w:p>
    <w:p>
      <w:pPr>
        <w:spacing w:after="120" w:line="324" w:lineRule="auto"/>
        <w:ind w:firstLine="440"/>
      </w:pPr>
      <w:r>
        <w:rPr>
          <w:rFonts w:ascii="等线" w:hAnsi="等线" w:eastAsia="等线"/>
          <w:b w:val="0"/>
          <w:sz w:val="22"/>
        </w:rPr>
        <w:t>流程控制上，北京实行"电子运单+运输许可+消纳场所设置许可"，上海实行"处置证+运输许可+场所备案"，深圳实行"排放核准+电子联单+综合利用厂备案"，天津以"处理方案备案+产生核准+处置许可"推进，并配套资源化利用补贴。四城都把装修垃圾从工程垃圾中单列，交给物业服务单位或属地责任人管理。</w:t>
      </w:r>
    </w:p>
    <w:p>
      <w:pPr>
        <w:spacing w:after="120" w:line="324" w:lineRule="auto"/>
        <w:ind w:firstLine="440"/>
      </w:pPr>
      <w:r>
        <w:rPr>
          <w:rFonts w:ascii="等线" w:hAnsi="等线" w:eastAsia="等线"/>
          <w:b w:val="0"/>
          <w:sz w:val="22"/>
        </w:rPr>
        <w:t>政策目标上，2025年国务院办公厅转发的《关于进一步加强城市建筑垃圾治理的意见》提出，到2027年全国地级及以上城市建筑垃圾平均资源化利用率达到50%以上，并全面推行全过程电子联单管理。天津北辰区方案提出2030年资源化利用率达到55%以上。这两个数字是判断地方执行进度的关键参照。</w:t>
      </w:r>
    </w:p>
    <w:p>
      <w:pPr>
        <w:spacing w:before="320" w:after="120"/>
      </w:pPr>
      <w:r>
        <w:rPr>
          <w:rFonts w:ascii="等线" w:hAnsi="等线" w:eastAsia="等线"/>
          <w:b/>
          <w:sz w:val="30"/>
        </w:rPr>
        <w:t>二、调研范围与数据口径</w:t>
      </w:r>
    </w:p>
    <w:p>
      <w:pPr>
        <w:pStyle w:val="ListBullet"/>
        <w:spacing w:after="60" w:line="312" w:lineRule="auto"/>
      </w:pPr>
      <w:r>
        <w:rPr>
          <w:rFonts w:ascii="等线" w:hAnsi="等线" w:eastAsia="等线"/>
          <w:b w:val="0"/>
          <w:sz w:val="22"/>
        </w:rPr>
        <w:t>城市范围：北京、上海、天津、深圳。</w:t>
      </w:r>
    </w:p>
    <w:p>
      <w:pPr>
        <w:pStyle w:val="ListBullet"/>
        <w:spacing w:after="60" w:line="312" w:lineRule="auto"/>
      </w:pPr>
      <w:r>
        <w:rPr>
          <w:rFonts w:ascii="等线" w:hAnsi="等线" w:eastAsia="等线"/>
          <w:b w:val="0"/>
          <w:sz w:val="22"/>
        </w:rPr>
        <w:t>时间口径：以各地现行有效的政府规章和2025年前后的政策文件为准，同时引用国家层面的分类与污染控制标准。</w:t>
      </w:r>
    </w:p>
    <w:p>
      <w:pPr>
        <w:pStyle w:val="ListBullet"/>
        <w:spacing w:after="60" w:line="312" w:lineRule="auto"/>
      </w:pPr>
      <w:r>
        <w:rPr>
          <w:rFonts w:ascii="等线" w:hAnsi="等线" w:eastAsia="等线"/>
          <w:b w:val="0"/>
          <w:sz w:val="22"/>
        </w:rPr>
        <w:t>资料性质：以政府门户网站、司法部地方政府规章库、中国政府网发布的正式文本为主；新闻报道仅用于补充时间背景。</w:t>
      </w:r>
    </w:p>
    <w:p>
      <w:pPr>
        <w:pStyle w:val="ListBullet"/>
        <w:spacing w:after="60" w:line="312" w:lineRule="auto"/>
      </w:pPr>
      <w:r>
        <w:rPr>
          <w:rFonts w:ascii="等线" w:hAnsi="等线" w:eastAsia="等线"/>
          <w:b w:val="0"/>
          <w:sz w:val="22"/>
        </w:rPr>
        <w:t>天津的口径：天津市级治理工作方案由各区出台实施方案落实，本报告引用北辰区实施方案中明确的五类分类与申报环节，并叠加上位文件《天津市建筑垃圾资源化利用管理办法》的制度安排。区级方案中的量化目标属于区域目标，不等同于全市统一指标。</w:t>
      </w:r>
    </w:p>
    <w:p>
      <w:pPr>
        <w:spacing w:before="320" w:after="120"/>
      </w:pPr>
      <w:r>
        <w:rPr>
          <w:rFonts w:ascii="等线" w:hAnsi="等线" w:eastAsia="等线"/>
          <w:b/>
          <w:sz w:val="30"/>
        </w:rPr>
        <w:t>三、建筑垃圾分类</w:t>
      </w:r>
    </w:p>
    <w:p>
      <w:pPr>
        <w:spacing w:before="200" w:after="80"/>
      </w:pPr>
      <w:r>
        <w:rPr>
          <w:rFonts w:ascii="等线" w:hAnsi="等线" w:eastAsia="等线"/>
          <w:b/>
          <w:sz w:val="25"/>
        </w:rPr>
        <w:t>3.1 国家统一五类口径</w:t>
      </w:r>
    </w:p>
    <w:p>
      <w:pPr>
        <w:spacing w:after="120" w:line="324" w:lineRule="auto"/>
        <w:ind w:firstLine="440"/>
      </w:pPr>
      <w:r>
        <w:rPr>
          <w:rFonts w:ascii="等线" w:hAnsi="等线" w:eastAsia="等线"/>
          <w:b w:val="0"/>
          <w:sz w:val="22"/>
        </w:rPr>
        <w:t>2025年国办函〔2025〕57号文件和《建筑垃圾处理技术标准》确立了五类基本分类。这一口径兼顾产生源和物料性质，是目前各地分类收敛的方向。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tcPr>
          <w:p>
            <w:r/>
            <w:r>
              <w:rPr>
                <w:rFonts w:ascii="等线" w:hAnsi="等线" w:eastAsia="等线"/>
                <w:b/>
                <w:sz w:val="20"/>
              </w:rPr>
              <w:t>类别</w:t>
            </w:r>
          </w:p>
        </w:tc>
        <w:tc>
          <w:tcPr>
            <w:tcW w:type="dxa" w:w="1928"/>
          </w:tcPr>
          <w:p>
            <w:r/>
            <w:r>
              <w:rPr>
                <w:rFonts w:ascii="等线" w:hAnsi="等线" w:eastAsia="等线"/>
                <w:b/>
                <w:sz w:val="20"/>
              </w:rPr>
              <w:t>产生源</w:t>
            </w:r>
          </w:p>
        </w:tc>
        <w:tc>
          <w:tcPr>
            <w:tcW w:type="dxa" w:w="2608"/>
          </w:tcPr>
          <w:p>
            <w:r/>
            <w:r>
              <w:rPr>
                <w:rFonts w:ascii="等线" w:hAnsi="等线" w:eastAsia="等线"/>
                <w:b/>
                <w:sz w:val="20"/>
              </w:rPr>
              <w:t>典型物料</w:t>
            </w:r>
          </w:p>
        </w:tc>
        <w:tc>
          <w:tcPr>
            <w:tcW w:type="dxa" w:w="3402"/>
          </w:tcPr>
          <w:p>
            <w:r/>
            <w:r>
              <w:rPr>
                <w:rFonts w:ascii="等线" w:hAnsi="等线" w:eastAsia="等线"/>
                <w:b/>
                <w:sz w:val="20"/>
              </w:rPr>
              <w:t>优先去向</w:t>
            </w:r>
          </w:p>
        </w:tc>
      </w:tr>
      <w:tr>
        <w:tc>
          <w:tcPr>
            <w:tcW w:type="dxa" w:w="1247"/>
          </w:tcPr>
          <w:p>
            <w:pPr>
              <w:spacing w:line="288" w:lineRule="auto"/>
            </w:pPr>
            <w:r/>
            <w:r>
              <w:rPr>
                <w:rFonts w:ascii="等线" w:hAnsi="等线" w:eastAsia="等线"/>
                <w:b w:val="0"/>
                <w:sz w:val="19"/>
              </w:rPr>
              <w:t>工程渣土</w:t>
            </w:r>
          </w:p>
        </w:tc>
        <w:tc>
          <w:tcPr>
            <w:tcW w:type="dxa" w:w="1928"/>
          </w:tcPr>
          <w:p>
            <w:pPr>
              <w:spacing w:line="288" w:lineRule="auto"/>
            </w:pPr>
            <w:r/>
            <w:r>
              <w:rPr>
                <w:rFonts w:ascii="等线" w:hAnsi="等线" w:eastAsia="等线"/>
                <w:b w:val="0"/>
                <w:sz w:val="19"/>
              </w:rPr>
              <w:t>地下空间开挖、场地平整、基坑与管网开挖</w:t>
            </w:r>
          </w:p>
        </w:tc>
        <w:tc>
          <w:tcPr>
            <w:tcW w:type="dxa" w:w="2608"/>
          </w:tcPr>
          <w:p>
            <w:pPr>
              <w:spacing w:line="288" w:lineRule="auto"/>
            </w:pPr>
            <w:r/>
            <w:r>
              <w:rPr>
                <w:rFonts w:ascii="等线" w:hAnsi="等线" w:eastAsia="等线"/>
                <w:b w:val="0"/>
                <w:sz w:val="19"/>
              </w:rPr>
              <w:t>弃土、弃渣、级配砂石、开槽渣土</w:t>
            </w:r>
          </w:p>
        </w:tc>
        <w:tc>
          <w:tcPr>
            <w:tcW w:type="dxa" w:w="3402"/>
          </w:tcPr>
          <w:p>
            <w:pPr>
              <w:spacing w:line="288" w:lineRule="auto"/>
            </w:pPr>
            <w:r/>
            <w:r>
              <w:rPr>
                <w:rFonts w:ascii="等线" w:hAnsi="等线" w:eastAsia="等线"/>
                <w:b w:val="0"/>
                <w:sz w:val="19"/>
              </w:rPr>
              <w:t>工程回填、场地平整、矿坑修复、堆山造景、低洼填平、烧结制品</w:t>
            </w:r>
          </w:p>
        </w:tc>
      </w:tr>
      <w:tr>
        <w:tc>
          <w:tcPr>
            <w:tcW w:type="dxa" w:w="1247"/>
          </w:tcPr>
          <w:p>
            <w:pPr>
              <w:spacing w:line="288" w:lineRule="auto"/>
            </w:pPr>
            <w:r/>
            <w:r>
              <w:rPr>
                <w:rFonts w:ascii="等线" w:hAnsi="等线" w:eastAsia="等线"/>
                <w:b w:val="0"/>
                <w:sz w:val="19"/>
              </w:rPr>
              <w:t>工程泥浆</w:t>
            </w:r>
          </w:p>
        </w:tc>
        <w:tc>
          <w:tcPr>
            <w:tcW w:type="dxa" w:w="1928"/>
          </w:tcPr>
          <w:p>
            <w:pPr>
              <w:spacing w:line="288" w:lineRule="auto"/>
            </w:pPr>
            <w:r/>
            <w:r>
              <w:rPr>
                <w:rFonts w:ascii="等线" w:hAnsi="等线" w:eastAsia="等线"/>
                <w:b w:val="0"/>
                <w:sz w:val="19"/>
              </w:rPr>
              <w:t>钻孔桩基、地下连续墙、盾构、水平定向钻、泥水顶管</w:t>
            </w:r>
          </w:p>
        </w:tc>
        <w:tc>
          <w:tcPr>
            <w:tcW w:type="dxa" w:w="2608"/>
          </w:tcPr>
          <w:p>
            <w:pPr>
              <w:spacing w:line="288" w:lineRule="auto"/>
            </w:pPr>
            <w:r/>
            <w:r>
              <w:rPr>
                <w:rFonts w:ascii="等线" w:hAnsi="等线" w:eastAsia="等线"/>
                <w:b w:val="0"/>
                <w:sz w:val="19"/>
              </w:rPr>
              <w:t>含水率高的泥浆、泥水混合物</w:t>
            </w:r>
          </w:p>
        </w:tc>
        <w:tc>
          <w:tcPr>
            <w:tcW w:type="dxa" w:w="3402"/>
          </w:tcPr>
          <w:p>
            <w:pPr>
              <w:spacing w:line="288" w:lineRule="auto"/>
            </w:pPr>
            <w:r/>
            <w:r>
              <w:rPr>
                <w:rFonts w:ascii="等线" w:hAnsi="等线" w:eastAsia="等线"/>
                <w:b w:val="0"/>
                <w:sz w:val="19"/>
              </w:rPr>
              <w:t>浆水分离、现场沉淀、脱水干化后，按渣土利用或进入消纳场所</w:t>
            </w:r>
          </w:p>
        </w:tc>
      </w:tr>
      <w:tr>
        <w:tc>
          <w:tcPr>
            <w:tcW w:type="dxa" w:w="1247"/>
          </w:tcPr>
          <w:p>
            <w:pPr>
              <w:spacing w:line="288" w:lineRule="auto"/>
            </w:pPr>
            <w:r/>
            <w:r>
              <w:rPr>
                <w:rFonts w:ascii="等线" w:hAnsi="等线" w:eastAsia="等线"/>
                <w:b w:val="0"/>
                <w:sz w:val="19"/>
              </w:rPr>
              <w:t>工程垃圾</w:t>
            </w:r>
          </w:p>
        </w:tc>
        <w:tc>
          <w:tcPr>
            <w:tcW w:type="dxa" w:w="1928"/>
          </w:tcPr>
          <w:p>
            <w:pPr>
              <w:spacing w:line="288" w:lineRule="auto"/>
            </w:pPr>
            <w:r/>
            <w:r>
              <w:rPr>
                <w:rFonts w:ascii="等线" w:hAnsi="等线" w:eastAsia="等线"/>
                <w:b w:val="0"/>
                <w:sz w:val="19"/>
              </w:rPr>
              <w:t>新建、改建、扩建工程施工现场</w:t>
            </w:r>
          </w:p>
        </w:tc>
        <w:tc>
          <w:tcPr>
            <w:tcW w:type="dxa" w:w="2608"/>
          </w:tcPr>
          <w:p>
            <w:pPr>
              <w:spacing w:line="288" w:lineRule="auto"/>
            </w:pPr>
            <w:r/>
            <w:r>
              <w:rPr>
                <w:rFonts w:ascii="等线" w:hAnsi="等线" w:eastAsia="等线"/>
                <w:b w:val="0"/>
                <w:sz w:val="19"/>
              </w:rPr>
              <w:t>混凝土、砖瓦、陶瓷、木材、玻璃、金属、沥青、塑料</w:t>
            </w:r>
          </w:p>
        </w:tc>
        <w:tc>
          <w:tcPr>
            <w:tcW w:type="dxa" w:w="3402"/>
          </w:tcPr>
          <w:p>
            <w:pPr>
              <w:spacing w:line="288" w:lineRule="auto"/>
            </w:pPr>
            <w:r/>
            <w:r>
              <w:rPr>
                <w:rFonts w:ascii="等线" w:hAnsi="等线" w:eastAsia="等线"/>
                <w:b w:val="0"/>
                <w:sz w:val="19"/>
              </w:rPr>
              <w:t>生产再生骨料、再生建材、道路材料</w:t>
            </w:r>
          </w:p>
        </w:tc>
      </w:tr>
      <w:tr>
        <w:tc>
          <w:tcPr>
            <w:tcW w:type="dxa" w:w="1247"/>
          </w:tcPr>
          <w:p>
            <w:pPr>
              <w:spacing w:line="288" w:lineRule="auto"/>
            </w:pPr>
            <w:r/>
            <w:r>
              <w:rPr>
                <w:rFonts w:ascii="等线" w:hAnsi="等线" w:eastAsia="等线"/>
                <w:b w:val="0"/>
                <w:sz w:val="19"/>
              </w:rPr>
              <w:t>拆除垃圾</w:t>
            </w:r>
          </w:p>
        </w:tc>
        <w:tc>
          <w:tcPr>
            <w:tcW w:type="dxa" w:w="1928"/>
          </w:tcPr>
          <w:p>
            <w:pPr>
              <w:spacing w:line="288" w:lineRule="auto"/>
            </w:pPr>
            <w:r/>
            <w:r>
              <w:rPr>
                <w:rFonts w:ascii="等线" w:hAnsi="等线" w:eastAsia="等线"/>
                <w:b w:val="0"/>
                <w:sz w:val="19"/>
              </w:rPr>
              <w:t>各类建筑物、构筑物、管网拆除</w:t>
            </w:r>
          </w:p>
        </w:tc>
        <w:tc>
          <w:tcPr>
            <w:tcW w:type="dxa" w:w="2608"/>
          </w:tcPr>
          <w:p>
            <w:pPr>
              <w:spacing w:line="288" w:lineRule="auto"/>
            </w:pPr>
            <w:r/>
            <w:r>
              <w:rPr>
                <w:rFonts w:ascii="等线" w:hAnsi="等线" w:eastAsia="等线"/>
                <w:b w:val="0"/>
                <w:sz w:val="19"/>
              </w:rPr>
              <w:t>废弃混凝土、砖瓦、沥青、钢材、木材</w:t>
            </w:r>
          </w:p>
        </w:tc>
        <w:tc>
          <w:tcPr>
            <w:tcW w:type="dxa" w:w="3402"/>
          </w:tcPr>
          <w:p>
            <w:pPr>
              <w:spacing w:line="288" w:lineRule="auto"/>
            </w:pPr>
            <w:r/>
            <w:r>
              <w:rPr>
                <w:rFonts w:ascii="等线" w:hAnsi="等线" w:eastAsia="等线"/>
                <w:b w:val="0"/>
                <w:sz w:val="19"/>
              </w:rPr>
              <w:t>生产再生骨料、再生砖、道路基层材料</w:t>
            </w:r>
          </w:p>
        </w:tc>
      </w:tr>
      <w:tr>
        <w:tc>
          <w:tcPr>
            <w:tcW w:type="dxa" w:w="1247"/>
          </w:tcPr>
          <w:p>
            <w:pPr>
              <w:spacing w:line="288" w:lineRule="auto"/>
            </w:pPr>
            <w:r/>
            <w:r>
              <w:rPr>
                <w:rFonts w:ascii="等线" w:hAnsi="等线" w:eastAsia="等线"/>
                <w:b w:val="0"/>
                <w:sz w:val="19"/>
              </w:rPr>
              <w:t>装修垃圾</w:t>
            </w:r>
          </w:p>
        </w:tc>
        <w:tc>
          <w:tcPr>
            <w:tcW w:type="dxa" w:w="1928"/>
          </w:tcPr>
          <w:p>
            <w:pPr>
              <w:spacing w:line="288" w:lineRule="auto"/>
            </w:pPr>
            <w:r/>
            <w:r>
              <w:rPr>
                <w:rFonts w:ascii="等线" w:hAnsi="等线" w:eastAsia="等线"/>
                <w:b w:val="0"/>
                <w:sz w:val="19"/>
              </w:rPr>
              <w:t>房屋装饰装修（多为无需施工许可的家装）</w:t>
            </w:r>
          </w:p>
        </w:tc>
        <w:tc>
          <w:tcPr>
            <w:tcW w:type="dxa" w:w="2608"/>
          </w:tcPr>
          <w:p>
            <w:pPr>
              <w:spacing w:line="288" w:lineRule="auto"/>
            </w:pPr>
            <w:r/>
            <w:r>
              <w:rPr>
                <w:rFonts w:ascii="等线" w:hAnsi="等线" w:eastAsia="等线"/>
                <w:b w:val="0"/>
                <w:sz w:val="19"/>
              </w:rPr>
              <w:t>混凝土、砖瓦、陶瓷、木材、玻璃、金属、塑料、石膏板</w:t>
            </w:r>
          </w:p>
        </w:tc>
        <w:tc>
          <w:tcPr>
            <w:tcW w:type="dxa" w:w="3402"/>
          </w:tcPr>
          <w:p>
            <w:pPr>
              <w:spacing w:line="288" w:lineRule="auto"/>
            </w:pPr>
            <w:r/>
            <w:r>
              <w:rPr>
                <w:rFonts w:ascii="等线" w:hAnsi="等线" w:eastAsia="等线"/>
                <w:b w:val="0"/>
                <w:sz w:val="19"/>
              </w:rPr>
              <w:t>分拣后资源化利用，无法利用的进入消纳场所</w:t>
            </w:r>
          </w:p>
        </w:tc>
      </w:tr>
    </w:tbl>
    <w:p/>
    <w:p>
      <w:pPr>
        <w:spacing w:before="200" w:after="80"/>
      </w:pPr>
      <w:r>
        <w:rPr>
          <w:rFonts w:ascii="等线" w:hAnsi="等线" w:eastAsia="等线"/>
          <w:b/>
          <w:sz w:val="25"/>
        </w:rPr>
        <w:t>3.2 材料层面的再细分</w:t>
      </w:r>
    </w:p>
    <w:p>
      <w:pPr>
        <w:spacing w:after="120" w:line="324" w:lineRule="auto"/>
        <w:ind w:firstLine="440"/>
      </w:pPr>
      <w:r>
        <w:rPr>
          <w:rFonts w:ascii="等线" w:hAnsi="等线" w:eastAsia="等线"/>
          <w:b w:val="0"/>
          <w:sz w:val="22"/>
        </w:rPr>
        <w:t>实际分拣和资源化设备选型时，需要把五类继续拆到材料级别。下表给出可直接用于现场标识和收运合同附件的材料清单。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61"/>
          </w:tcPr>
          <w:p>
            <w:r/>
            <w:r>
              <w:rPr>
                <w:rFonts w:ascii="等线" w:hAnsi="等线" w:eastAsia="等线"/>
                <w:b/>
                <w:sz w:val="20"/>
              </w:rPr>
              <w:t>材料族</w:t>
            </w:r>
          </w:p>
        </w:tc>
        <w:tc>
          <w:tcPr>
            <w:tcW w:type="dxa" w:w="2608"/>
          </w:tcPr>
          <w:p>
            <w:r/>
            <w:r>
              <w:rPr>
                <w:rFonts w:ascii="等线" w:hAnsi="等线" w:eastAsia="等线"/>
                <w:b/>
                <w:sz w:val="20"/>
              </w:rPr>
              <w:t>包含物料</w:t>
            </w:r>
          </w:p>
        </w:tc>
        <w:tc>
          <w:tcPr>
            <w:tcW w:type="dxa" w:w="2041"/>
          </w:tcPr>
          <w:p>
            <w:r/>
            <w:r>
              <w:rPr>
                <w:rFonts w:ascii="等线" w:hAnsi="等线" w:eastAsia="等线"/>
                <w:b/>
                <w:sz w:val="20"/>
              </w:rPr>
              <w:t>常见归属类别</w:t>
            </w:r>
          </w:p>
        </w:tc>
        <w:tc>
          <w:tcPr>
            <w:tcW w:type="dxa" w:w="3175"/>
          </w:tcPr>
          <w:p>
            <w:r/>
            <w:r>
              <w:rPr>
                <w:rFonts w:ascii="等线" w:hAnsi="等线" w:eastAsia="等线"/>
                <w:b/>
                <w:sz w:val="20"/>
              </w:rPr>
              <w:t>可回收方向</w:t>
            </w:r>
          </w:p>
        </w:tc>
      </w:tr>
      <w:tr>
        <w:tc>
          <w:tcPr>
            <w:tcW w:type="dxa" w:w="1361"/>
          </w:tcPr>
          <w:p>
            <w:pPr>
              <w:spacing w:line="288" w:lineRule="auto"/>
            </w:pPr>
            <w:r/>
            <w:r>
              <w:rPr>
                <w:rFonts w:ascii="等线" w:hAnsi="等线" w:eastAsia="等线"/>
                <w:b w:val="0"/>
                <w:sz w:val="19"/>
              </w:rPr>
              <w:t>惰性无机料</w:t>
            </w:r>
          </w:p>
        </w:tc>
        <w:tc>
          <w:tcPr>
            <w:tcW w:type="dxa" w:w="2608"/>
          </w:tcPr>
          <w:p>
            <w:pPr>
              <w:spacing w:line="288" w:lineRule="auto"/>
            </w:pPr>
            <w:r/>
            <w:r>
              <w:rPr>
                <w:rFonts w:ascii="等线" w:hAnsi="等线" w:eastAsia="等线"/>
                <w:b w:val="0"/>
                <w:sz w:val="19"/>
              </w:rPr>
              <w:t>混凝土块、砖瓦、陶瓷、石材、砂浆块、碎石</w:t>
            </w:r>
          </w:p>
        </w:tc>
        <w:tc>
          <w:tcPr>
            <w:tcW w:type="dxa" w:w="2041"/>
          </w:tcPr>
          <w:p>
            <w:pPr>
              <w:spacing w:line="288" w:lineRule="auto"/>
            </w:pPr>
            <w:r/>
            <w:r>
              <w:rPr>
                <w:rFonts w:ascii="等线" w:hAnsi="等线" w:eastAsia="等线"/>
                <w:b w:val="0"/>
                <w:sz w:val="19"/>
              </w:rPr>
              <w:t>工程垃圾、拆除垃圾、装修垃圾</w:t>
            </w:r>
          </w:p>
        </w:tc>
        <w:tc>
          <w:tcPr>
            <w:tcW w:type="dxa" w:w="3175"/>
          </w:tcPr>
          <w:p>
            <w:pPr>
              <w:spacing w:line="288" w:lineRule="auto"/>
            </w:pPr>
            <w:r/>
            <w:r>
              <w:rPr>
                <w:rFonts w:ascii="等线" w:hAnsi="等线" w:eastAsia="等线"/>
                <w:b w:val="0"/>
                <w:sz w:val="19"/>
              </w:rPr>
              <w:t>再生粗骨料、再生细骨料、再生砖、道路基层</w:t>
            </w:r>
          </w:p>
        </w:tc>
      </w:tr>
      <w:tr>
        <w:tc>
          <w:tcPr>
            <w:tcW w:type="dxa" w:w="1361"/>
          </w:tcPr>
          <w:p>
            <w:pPr>
              <w:spacing w:line="288" w:lineRule="auto"/>
            </w:pPr>
            <w:r/>
            <w:r>
              <w:rPr>
                <w:rFonts w:ascii="等线" w:hAnsi="等线" w:eastAsia="等线"/>
                <w:b w:val="0"/>
                <w:sz w:val="19"/>
              </w:rPr>
              <w:t>渣土类</w:t>
            </w:r>
          </w:p>
        </w:tc>
        <w:tc>
          <w:tcPr>
            <w:tcW w:type="dxa" w:w="2608"/>
          </w:tcPr>
          <w:p>
            <w:pPr>
              <w:spacing w:line="288" w:lineRule="auto"/>
            </w:pPr>
            <w:r/>
            <w:r>
              <w:rPr>
                <w:rFonts w:ascii="等线" w:hAnsi="等线" w:eastAsia="等线"/>
                <w:b w:val="0"/>
                <w:sz w:val="19"/>
              </w:rPr>
              <w:t>黏土、粉土、砂土、级配砂石、开槽弃土</w:t>
            </w:r>
          </w:p>
        </w:tc>
        <w:tc>
          <w:tcPr>
            <w:tcW w:type="dxa" w:w="2041"/>
          </w:tcPr>
          <w:p>
            <w:pPr>
              <w:spacing w:line="288" w:lineRule="auto"/>
            </w:pPr>
            <w:r/>
            <w:r>
              <w:rPr>
                <w:rFonts w:ascii="等线" w:hAnsi="等线" w:eastAsia="等线"/>
                <w:b w:val="0"/>
                <w:sz w:val="19"/>
              </w:rPr>
              <w:t>工程渣土</w:t>
            </w:r>
          </w:p>
        </w:tc>
        <w:tc>
          <w:tcPr>
            <w:tcW w:type="dxa" w:w="3175"/>
          </w:tcPr>
          <w:p>
            <w:pPr>
              <w:spacing w:line="288" w:lineRule="auto"/>
            </w:pPr>
            <w:r/>
            <w:r>
              <w:rPr>
                <w:rFonts w:ascii="等线" w:hAnsi="等线" w:eastAsia="等线"/>
                <w:b w:val="0"/>
                <w:sz w:val="19"/>
              </w:rPr>
              <w:t>回填、场地平整、绿化用土、烧结制品</w:t>
            </w:r>
          </w:p>
        </w:tc>
      </w:tr>
      <w:tr>
        <w:tc>
          <w:tcPr>
            <w:tcW w:type="dxa" w:w="1361"/>
          </w:tcPr>
          <w:p>
            <w:pPr>
              <w:spacing w:line="288" w:lineRule="auto"/>
            </w:pPr>
            <w:r/>
            <w:r>
              <w:rPr>
                <w:rFonts w:ascii="等线" w:hAnsi="等线" w:eastAsia="等线"/>
                <w:b w:val="0"/>
                <w:sz w:val="19"/>
              </w:rPr>
              <w:t>沥青类</w:t>
            </w:r>
          </w:p>
        </w:tc>
        <w:tc>
          <w:tcPr>
            <w:tcW w:type="dxa" w:w="2608"/>
          </w:tcPr>
          <w:p>
            <w:pPr>
              <w:spacing w:line="288" w:lineRule="auto"/>
            </w:pPr>
            <w:r/>
            <w:r>
              <w:rPr>
                <w:rFonts w:ascii="等线" w:hAnsi="等线" w:eastAsia="等线"/>
                <w:b w:val="0"/>
                <w:sz w:val="19"/>
              </w:rPr>
              <w:t>铣刨料、废弃沥青混合料</w:t>
            </w:r>
          </w:p>
        </w:tc>
        <w:tc>
          <w:tcPr>
            <w:tcW w:type="dxa" w:w="2041"/>
          </w:tcPr>
          <w:p>
            <w:pPr>
              <w:spacing w:line="288" w:lineRule="auto"/>
            </w:pPr>
            <w:r/>
            <w:r>
              <w:rPr>
                <w:rFonts w:ascii="等线" w:hAnsi="等线" w:eastAsia="等线"/>
                <w:b w:val="0"/>
                <w:sz w:val="19"/>
              </w:rPr>
              <w:t>工程垃圾、拆除垃圾</w:t>
            </w:r>
          </w:p>
        </w:tc>
        <w:tc>
          <w:tcPr>
            <w:tcW w:type="dxa" w:w="3175"/>
          </w:tcPr>
          <w:p>
            <w:pPr>
              <w:spacing w:line="288" w:lineRule="auto"/>
            </w:pPr>
            <w:r/>
            <w:r>
              <w:rPr>
                <w:rFonts w:ascii="等线" w:hAnsi="等线" w:eastAsia="等线"/>
                <w:b w:val="0"/>
                <w:sz w:val="19"/>
              </w:rPr>
              <w:t>再生沥青混合料，需单独堆存防结块</w:t>
            </w:r>
          </w:p>
        </w:tc>
      </w:tr>
      <w:tr>
        <w:tc>
          <w:tcPr>
            <w:tcW w:type="dxa" w:w="1361"/>
          </w:tcPr>
          <w:p>
            <w:pPr>
              <w:spacing w:line="288" w:lineRule="auto"/>
            </w:pPr>
            <w:r/>
            <w:r>
              <w:rPr>
                <w:rFonts w:ascii="等线" w:hAnsi="等线" w:eastAsia="等线"/>
                <w:b w:val="0"/>
                <w:sz w:val="19"/>
              </w:rPr>
              <w:t>金属类</w:t>
            </w:r>
          </w:p>
        </w:tc>
        <w:tc>
          <w:tcPr>
            <w:tcW w:type="dxa" w:w="2608"/>
          </w:tcPr>
          <w:p>
            <w:pPr>
              <w:spacing w:line="288" w:lineRule="auto"/>
            </w:pPr>
            <w:r/>
            <w:r>
              <w:rPr>
                <w:rFonts w:ascii="等线" w:hAnsi="等线" w:eastAsia="等线"/>
                <w:b w:val="0"/>
                <w:sz w:val="19"/>
              </w:rPr>
              <w:t>废钢筋、型钢、铝合金门窗、金属管线</w:t>
            </w:r>
          </w:p>
        </w:tc>
        <w:tc>
          <w:tcPr>
            <w:tcW w:type="dxa" w:w="2041"/>
          </w:tcPr>
          <w:p>
            <w:pPr>
              <w:spacing w:line="288" w:lineRule="auto"/>
            </w:pPr>
            <w:r/>
            <w:r>
              <w:rPr>
                <w:rFonts w:ascii="等线" w:hAnsi="等线" w:eastAsia="等线"/>
                <w:b w:val="0"/>
                <w:sz w:val="19"/>
              </w:rPr>
              <w:t>工程垃圾、拆除垃圾、装修垃圾</w:t>
            </w:r>
          </w:p>
        </w:tc>
        <w:tc>
          <w:tcPr>
            <w:tcW w:type="dxa" w:w="3175"/>
          </w:tcPr>
          <w:p>
            <w:pPr>
              <w:spacing w:line="288" w:lineRule="auto"/>
            </w:pPr>
            <w:r/>
            <w:r>
              <w:rPr>
                <w:rFonts w:ascii="等线" w:hAnsi="等线" w:eastAsia="等线"/>
                <w:b w:val="0"/>
                <w:sz w:val="19"/>
              </w:rPr>
              <w:t>直接进入废金属回收渠道</w:t>
            </w:r>
          </w:p>
        </w:tc>
      </w:tr>
      <w:tr>
        <w:tc>
          <w:tcPr>
            <w:tcW w:type="dxa" w:w="1361"/>
          </w:tcPr>
          <w:p>
            <w:pPr>
              <w:spacing w:line="288" w:lineRule="auto"/>
            </w:pPr>
            <w:r/>
            <w:r>
              <w:rPr>
                <w:rFonts w:ascii="等线" w:hAnsi="等线" w:eastAsia="等线"/>
                <w:b w:val="0"/>
                <w:sz w:val="19"/>
              </w:rPr>
              <w:t>木质类</w:t>
            </w:r>
          </w:p>
        </w:tc>
        <w:tc>
          <w:tcPr>
            <w:tcW w:type="dxa" w:w="2608"/>
          </w:tcPr>
          <w:p>
            <w:pPr>
              <w:spacing w:line="288" w:lineRule="auto"/>
            </w:pPr>
            <w:r/>
            <w:r>
              <w:rPr>
                <w:rFonts w:ascii="等线" w:hAnsi="等线" w:eastAsia="等线"/>
                <w:b w:val="0"/>
                <w:sz w:val="19"/>
              </w:rPr>
              <w:t>模板、木方、木质门窗、包装木料</w:t>
            </w:r>
          </w:p>
        </w:tc>
        <w:tc>
          <w:tcPr>
            <w:tcW w:type="dxa" w:w="2041"/>
          </w:tcPr>
          <w:p>
            <w:pPr>
              <w:spacing w:line="288" w:lineRule="auto"/>
            </w:pPr>
            <w:r/>
            <w:r>
              <w:rPr>
                <w:rFonts w:ascii="等线" w:hAnsi="等线" w:eastAsia="等线"/>
                <w:b w:val="0"/>
                <w:sz w:val="19"/>
              </w:rPr>
              <w:t>工程垃圾、装修垃圾</w:t>
            </w:r>
          </w:p>
        </w:tc>
        <w:tc>
          <w:tcPr>
            <w:tcW w:type="dxa" w:w="3175"/>
          </w:tcPr>
          <w:p>
            <w:pPr>
              <w:spacing w:line="288" w:lineRule="auto"/>
            </w:pPr>
            <w:r/>
            <w:r>
              <w:rPr>
                <w:rFonts w:ascii="等线" w:hAnsi="等线" w:eastAsia="等线"/>
                <w:b w:val="0"/>
                <w:sz w:val="19"/>
              </w:rPr>
              <w:t>人造板原料、生物质燃料，需防潮防雨</w:t>
            </w:r>
          </w:p>
        </w:tc>
      </w:tr>
      <w:tr>
        <w:tc>
          <w:tcPr>
            <w:tcW w:type="dxa" w:w="1361"/>
          </w:tcPr>
          <w:p>
            <w:pPr>
              <w:spacing w:line="288" w:lineRule="auto"/>
            </w:pPr>
            <w:r/>
            <w:r>
              <w:rPr>
                <w:rFonts w:ascii="等线" w:hAnsi="等线" w:eastAsia="等线"/>
                <w:b w:val="0"/>
                <w:sz w:val="19"/>
              </w:rPr>
              <w:t>玻璃与陶瓷</w:t>
            </w:r>
          </w:p>
        </w:tc>
        <w:tc>
          <w:tcPr>
            <w:tcW w:type="dxa" w:w="2608"/>
          </w:tcPr>
          <w:p>
            <w:pPr>
              <w:spacing w:line="288" w:lineRule="auto"/>
            </w:pPr>
            <w:r/>
            <w:r>
              <w:rPr>
                <w:rFonts w:ascii="等线" w:hAnsi="等线" w:eastAsia="等线"/>
                <w:b w:val="0"/>
                <w:sz w:val="19"/>
              </w:rPr>
              <w:t>玻璃幕墙碎片、门窗玻璃、陶瓷洁具</w:t>
            </w:r>
          </w:p>
        </w:tc>
        <w:tc>
          <w:tcPr>
            <w:tcW w:type="dxa" w:w="2041"/>
          </w:tcPr>
          <w:p>
            <w:pPr>
              <w:spacing w:line="288" w:lineRule="auto"/>
            </w:pPr>
            <w:r/>
            <w:r>
              <w:rPr>
                <w:rFonts w:ascii="等线" w:hAnsi="等线" w:eastAsia="等线"/>
                <w:b w:val="0"/>
                <w:sz w:val="19"/>
              </w:rPr>
              <w:t>工程垃圾、拆除垃圾、装修垃圾</w:t>
            </w:r>
          </w:p>
        </w:tc>
        <w:tc>
          <w:tcPr>
            <w:tcW w:type="dxa" w:w="3175"/>
          </w:tcPr>
          <w:p>
            <w:pPr>
              <w:spacing w:line="288" w:lineRule="auto"/>
            </w:pPr>
            <w:r/>
            <w:r>
              <w:rPr>
                <w:rFonts w:ascii="等线" w:hAnsi="等线" w:eastAsia="等线"/>
                <w:b w:val="0"/>
                <w:sz w:val="19"/>
              </w:rPr>
              <w:t>玻璃再生原料、陶瓷骨料</w:t>
            </w:r>
          </w:p>
        </w:tc>
      </w:tr>
      <w:tr>
        <w:tc>
          <w:tcPr>
            <w:tcW w:type="dxa" w:w="1361"/>
          </w:tcPr>
          <w:p>
            <w:pPr>
              <w:spacing w:line="288" w:lineRule="auto"/>
            </w:pPr>
            <w:r/>
            <w:r>
              <w:rPr>
                <w:rFonts w:ascii="等线" w:hAnsi="等线" w:eastAsia="等线"/>
                <w:b w:val="0"/>
                <w:sz w:val="19"/>
              </w:rPr>
              <w:t>石膏与轻质板</w:t>
            </w:r>
          </w:p>
        </w:tc>
        <w:tc>
          <w:tcPr>
            <w:tcW w:type="dxa" w:w="2608"/>
          </w:tcPr>
          <w:p>
            <w:pPr>
              <w:spacing w:line="288" w:lineRule="auto"/>
            </w:pPr>
            <w:r/>
            <w:r>
              <w:rPr>
                <w:rFonts w:ascii="等线" w:hAnsi="等线" w:eastAsia="等线"/>
                <w:b w:val="0"/>
                <w:sz w:val="19"/>
              </w:rPr>
              <w:t>石膏板、轻质隔墙板、吊顶板</w:t>
            </w:r>
          </w:p>
        </w:tc>
        <w:tc>
          <w:tcPr>
            <w:tcW w:type="dxa" w:w="2041"/>
          </w:tcPr>
          <w:p>
            <w:pPr>
              <w:spacing w:line="288" w:lineRule="auto"/>
            </w:pPr>
            <w:r/>
            <w:r>
              <w:rPr>
                <w:rFonts w:ascii="等线" w:hAnsi="等线" w:eastAsia="等线"/>
                <w:b w:val="0"/>
                <w:sz w:val="19"/>
              </w:rPr>
              <w:t>装修垃圾</w:t>
            </w:r>
          </w:p>
        </w:tc>
        <w:tc>
          <w:tcPr>
            <w:tcW w:type="dxa" w:w="3175"/>
          </w:tcPr>
          <w:p>
            <w:pPr>
              <w:spacing w:line="288" w:lineRule="auto"/>
            </w:pPr>
            <w:r/>
            <w:r>
              <w:rPr>
                <w:rFonts w:ascii="等线" w:hAnsi="等线" w:eastAsia="等线"/>
                <w:b w:val="0"/>
                <w:sz w:val="19"/>
              </w:rPr>
              <w:t>石膏再生利用，需与水泥基材料分开</w:t>
            </w:r>
          </w:p>
        </w:tc>
      </w:tr>
      <w:tr>
        <w:tc>
          <w:tcPr>
            <w:tcW w:type="dxa" w:w="1361"/>
          </w:tcPr>
          <w:p>
            <w:pPr>
              <w:spacing w:line="288" w:lineRule="auto"/>
            </w:pPr>
            <w:r/>
            <w:r>
              <w:rPr>
                <w:rFonts w:ascii="等线" w:hAnsi="等线" w:eastAsia="等线"/>
                <w:b w:val="0"/>
                <w:sz w:val="19"/>
              </w:rPr>
              <w:t>塑料与包装</w:t>
            </w:r>
          </w:p>
        </w:tc>
        <w:tc>
          <w:tcPr>
            <w:tcW w:type="dxa" w:w="2608"/>
          </w:tcPr>
          <w:p>
            <w:pPr>
              <w:spacing w:line="288" w:lineRule="auto"/>
            </w:pPr>
            <w:r/>
            <w:r>
              <w:rPr>
                <w:rFonts w:ascii="等线" w:hAnsi="等线" w:eastAsia="等线"/>
                <w:b w:val="0"/>
                <w:sz w:val="19"/>
              </w:rPr>
              <w:t>PVC管材、塑料薄膜、编织袋、保温板</w:t>
            </w:r>
          </w:p>
        </w:tc>
        <w:tc>
          <w:tcPr>
            <w:tcW w:type="dxa" w:w="2041"/>
          </w:tcPr>
          <w:p>
            <w:pPr>
              <w:spacing w:line="288" w:lineRule="auto"/>
            </w:pPr>
            <w:r/>
            <w:r>
              <w:rPr>
                <w:rFonts w:ascii="等线" w:hAnsi="等线" w:eastAsia="等线"/>
                <w:b w:val="0"/>
                <w:sz w:val="19"/>
              </w:rPr>
              <w:t>工程垃圾、装修垃圾</w:t>
            </w:r>
          </w:p>
        </w:tc>
        <w:tc>
          <w:tcPr>
            <w:tcW w:type="dxa" w:w="3175"/>
          </w:tcPr>
          <w:p>
            <w:pPr>
              <w:spacing w:line="288" w:lineRule="auto"/>
            </w:pPr>
            <w:r/>
            <w:r>
              <w:rPr>
                <w:rFonts w:ascii="等线" w:hAnsi="等线" w:eastAsia="等线"/>
                <w:b w:val="0"/>
                <w:sz w:val="19"/>
              </w:rPr>
              <w:t>分类回收；含卤素塑料需专门处置</w:t>
            </w:r>
          </w:p>
        </w:tc>
      </w:tr>
      <w:tr>
        <w:tc>
          <w:tcPr>
            <w:tcW w:type="dxa" w:w="1361"/>
          </w:tcPr>
          <w:p>
            <w:pPr>
              <w:spacing w:line="288" w:lineRule="auto"/>
            </w:pPr>
            <w:r/>
            <w:r>
              <w:rPr>
                <w:rFonts w:ascii="等线" w:hAnsi="等线" w:eastAsia="等线"/>
                <w:b w:val="0"/>
                <w:sz w:val="19"/>
              </w:rPr>
              <w:t>泥浆类</w:t>
            </w:r>
          </w:p>
        </w:tc>
        <w:tc>
          <w:tcPr>
            <w:tcW w:type="dxa" w:w="2608"/>
          </w:tcPr>
          <w:p>
            <w:pPr>
              <w:spacing w:line="288" w:lineRule="auto"/>
            </w:pPr>
            <w:r/>
            <w:r>
              <w:rPr>
                <w:rFonts w:ascii="等线" w:hAnsi="等线" w:eastAsia="等线"/>
                <w:b w:val="0"/>
                <w:sz w:val="19"/>
              </w:rPr>
              <w:t>桩基泥浆、盾构泥浆、顶管泥水</w:t>
            </w:r>
          </w:p>
        </w:tc>
        <w:tc>
          <w:tcPr>
            <w:tcW w:type="dxa" w:w="2041"/>
          </w:tcPr>
          <w:p>
            <w:pPr>
              <w:spacing w:line="288" w:lineRule="auto"/>
            </w:pPr>
            <w:r/>
            <w:r>
              <w:rPr>
                <w:rFonts w:ascii="等线" w:hAnsi="等线" w:eastAsia="等线"/>
                <w:b w:val="0"/>
                <w:sz w:val="19"/>
              </w:rPr>
              <w:t>工程泥浆</w:t>
            </w:r>
          </w:p>
        </w:tc>
        <w:tc>
          <w:tcPr>
            <w:tcW w:type="dxa" w:w="3175"/>
          </w:tcPr>
          <w:p>
            <w:pPr>
              <w:spacing w:line="288" w:lineRule="auto"/>
            </w:pPr>
            <w:r/>
            <w:r>
              <w:rPr>
                <w:rFonts w:ascii="等线" w:hAnsi="等线" w:eastAsia="等线"/>
                <w:b w:val="0"/>
                <w:sz w:val="19"/>
              </w:rPr>
              <w:t>浆水分离、脱水干化后利用</w:t>
            </w:r>
          </w:p>
        </w:tc>
      </w:tr>
    </w:tbl>
    <w:p/>
    <w:p>
      <w:pPr>
        <w:spacing w:before="200" w:after="80"/>
      </w:pPr>
      <w:r>
        <w:rPr>
          <w:rFonts w:ascii="等线" w:hAnsi="等线" w:eastAsia="等线"/>
          <w:b/>
          <w:sz w:val="25"/>
        </w:rPr>
        <w:t>3.3 不应混入建筑垃圾的物料</w:t>
      </w:r>
    </w:p>
    <w:p>
      <w:pPr>
        <w:spacing w:after="120" w:line="324" w:lineRule="auto"/>
        <w:ind w:firstLine="440"/>
      </w:pPr>
      <w:r>
        <w:rPr>
          <w:rFonts w:ascii="等线" w:hAnsi="等线" w:eastAsia="等线"/>
          <w:b w:val="0"/>
          <w:sz w:val="22"/>
        </w:rPr>
        <w:t>四城规章都以禁止性条款明确，建筑垃圾不得与生活垃圾、危险废物混合，不得混装混运。现场至少要单独分出以下物料。</w:t>
      </w:r>
    </w:p>
    <w:p>
      <w:pPr>
        <w:pStyle w:val="ListBullet"/>
        <w:spacing w:after="60" w:line="312" w:lineRule="auto"/>
      </w:pPr>
      <w:r>
        <w:rPr>
          <w:rFonts w:ascii="等线" w:hAnsi="等线" w:eastAsia="等线"/>
          <w:b w:val="0"/>
          <w:sz w:val="22"/>
        </w:rPr>
        <w:t>生活垃圾：餐厨、包装、办公废弃物等，进入生活垃圾分类体系。</w:t>
      </w:r>
    </w:p>
    <w:p>
      <w:pPr>
        <w:pStyle w:val="ListBullet"/>
        <w:spacing w:after="60" w:line="312" w:lineRule="auto"/>
      </w:pPr>
      <w:r>
        <w:rPr>
          <w:rFonts w:ascii="等线" w:hAnsi="等线" w:eastAsia="等线"/>
          <w:b w:val="0"/>
          <w:sz w:val="22"/>
        </w:rPr>
        <w:t>危险废物：废油漆及油漆桶、废溶剂、废胶粘剂、含石棉材料、含重金属废料等，须按危险废物管理。</w:t>
      </w:r>
    </w:p>
    <w:p>
      <w:pPr>
        <w:pStyle w:val="ListBullet"/>
        <w:spacing w:after="60" w:line="312" w:lineRule="auto"/>
      </w:pPr>
      <w:r>
        <w:rPr>
          <w:rFonts w:ascii="等线" w:hAnsi="等线" w:eastAsia="等线"/>
          <w:b w:val="0"/>
          <w:sz w:val="22"/>
        </w:rPr>
        <w:t>污泥、淤泥及其他工业垃圾：深圳明确要求消纳场所未经批准不得消纳此类物料。</w:t>
      </w:r>
    </w:p>
    <w:p>
      <w:pPr>
        <w:pStyle w:val="ListBullet"/>
        <w:spacing w:after="60" w:line="312" w:lineRule="auto"/>
      </w:pPr>
      <w:r>
        <w:rPr>
          <w:rFonts w:ascii="等线" w:hAnsi="等线" w:eastAsia="等线"/>
          <w:b w:val="0"/>
          <w:sz w:val="22"/>
        </w:rPr>
        <w:t>需注意的特殊指标：深圳规定固定消纳场不得消纳含水率高于40%的工程渣土，这类渣土需先干化或改走其他设施。</w:t>
      </w:r>
    </w:p>
    <w:p>
      <w:pPr>
        <w:spacing w:before="320" w:after="120"/>
      </w:pPr>
      <w:r>
        <w:rPr>
          <w:rFonts w:ascii="等线" w:hAnsi="等线" w:eastAsia="等线"/>
          <w:b/>
          <w:sz w:val="30"/>
        </w:rPr>
        <w:t>四、建筑垃圾处理通用流程</w:t>
      </w:r>
    </w:p>
    <w:p>
      <w:pPr>
        <w:spacing w:after="120" w:line="324" w:lineRule="auto"/>
        <w:ind w:firstLine="440"/>
      </w:pPr>
      <w:r>
        <w:rPr>
          <w:rFonts w:ascii="等线" w:hAnsi="等线" w:eastAsia="等线"/>
          <w:b w:val="0"/>
          <w:sz w:val="22"/>
        </w:rPr>
        <w:t>把四城的制度拼在一起，可以得到一条完整的处理链。每个环节对应不同的责任主体和凭证。</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701"/>
          </w:tcPr>
          <w:p>
            <w:r/>
            <w:r>
              <w:rPr>
                <w:rFonts w:ascii="等线" w:hAnsi="等线" w:eastAsia="等线"/>
                <w:b/>
                <w:sz w:val="20"/>
              </w:rPr>
              <w:t>环节</w:t>
            </w:r>
          </w:p>
        </w:tc>
        <w:tc>
          <w:tcPr>
            <w:tcW w:type="dxa" w:w="1814"/>
          </w:tcPr>
          <w:p>
            <w:r/>
            <w:r>
              <w:rPr>
                <w:rFonts w:ascii="等线" w:hAnsi="等线" w:eastAsia="等线"/>
                <w:b/>
                <w:sz w:val="20"/>
              </w:rPr>
              <w:t>主要责任方</w:t>
            </w:r>
          </w:p>
        </w:tc>
        <w:tc>
          <w:tcPr>
            <w:tcW w:type="dxa" w:w="3515"/>
          </w:tcPr>
          <w:p>
            <w:r/>
            <w:r>
              <w:rPr>
                <w:rFonts w:ascii="等线" w:hAnsi="等线" w:eastAsia="等线"/>
                <w:b/>
                <w:sz w:val="20"/>
              </w:rPr>
              <w:t>核心动作</w:t>
            </w:r>
          </w:p>
        </w:tc>
        <w:tc>
          <w:tcPr>
            <w:tcW w:type="dxa" w:w="2154"/>
          </w:tcPr>
          <w:p>
            <w:r/>
            <w:r>
              <w:rPr>
                <w:rFonts w:ascii="等线" w:hAnsi="等线" w:eastAsia="等线"/>
                <w:b/>
                <w:sz w:val="20"/>
              </w:rPr>
              <w:t>产出凭证</w:t>
            </w:r>
          </w:p>
        </w:tc>
      </w:tr>
      <w:tr>
        <w:tc>
          <w:tcPr>
            <w:tcW w:type="dxa" w:w="1701"/>
          </w:tcPr>
          <w:p>
            <w:pPr>
              <w:spacing w:line="288" w:lineRule="auto"/>
            </w:pPr>
            <w:r/>
            <w:r>
              <w:rPr>
                <w:rFonts w:ascii="等线" w:hAnsi="等线" w:eastAsia="等线"/>
                <w:b w:val="0"/>
                <w:sz w:val="19"/>
              </w:rPr>
              <w:t>1 源头减量与方案编制</w:t>
            </w:r>
          </w:p>
        </w:tc>
        <w:tc>
          <w:tcPr>
            <w:tcW w:type="dxa" w:w="1814"/>
          </w:tcPr>
          <w:p>
            <w:pPr>
              <w:spacing w:line="288" w:lineRule="auto"/>
            </w:pPr>
            <w:r/>
            <w:r>
              <w:rPr>
                <w:rFonts w:ascii="等线" w:hAnsi="等线" w:eastAsia="等线"/>
                <w:b w:val="0"/>
                <w:sz w:val="19"/>
              </w:rPr>
              <w:t>建设单位、设计单位、施工单位</w:t>
            </w:r>
          </w:p>
        </w:tc>
        <w:tc>
          <w:tcPr>
            <w:tcW w:type="dxa" w:w="3515"/>
          </w:tcPr>
          <w:p>
            <w:pPr>
              <w:spacing w:line="288" w:lineRule="auto"/>
            </w:pPr>
            <w:r/>
            <w:r>
              <w:rPr>
                <w:rFonts w:ascii="等线" w:hAnsi="等线" w:eastAsia="等线"/>
                <w:b w:val="0"/>
                <w:sz w:val="19"/>
              </w:rPr>
              <w:t>测算工程产生的建筑垃圾种类和数量，编制处理方案，在造价中单列运输和处置费用</w:t>
            </w:r>
          </w:p>
        </w:tc>
        <w:tc>
          <w:tcPr>
            <w:tcW w:type="dxa" w:w="2154"/>
          </w:tcPr>
          <w:p>
            <w:pPr>
              <w:spacing w:line="288" w:lineRule="auto"/>
            </w:pPr>
            <w:r/>
            <w:r>
              <w:rPr>
                <w:rFonts w:ascii="等线" w:hAnsi="等线" w:eastAsia="等线"/>
                <w:b w:val="0"/>
                <w:sz w:val="19"/>
              </w:rPr>
              <w:t>建筑垃圾处理方案、造价列支凭证</w:t>
            </w:r>
          </w:p>
        </w:tc>
      </w:tr>
      <w:tr>
        <w:tc>
          <w:tcPr>
            <w:tcW w:type="dxa" w:w="1701"/>
          </w:tcPr>
          <w:p>
            <w:pPr>
              <w:spacing w:line="288" w:lineRule="auto"/>
            </w:pPr>
            <w:r/>
            <w:r>
              <w:rPr>
                <w:rFonts w:ascii="等线" w:hAnsi="等线" w:eastAsia="等线"/>
                <w:b w:val="0"/>
                <w:sz w:val="19"/>
              </w:rPr>
              <w:t>2 排放申报与核准</w:t>
            </w:r>
          </w:p>
        </w:tc>
        <w:tc>
          <w:tcPr>
            <w:tcW w:type="dxa" w:w="1814"/>
          </w:tcPr>
          <w:p>
            <w:pPr>
              <w:spacing w:line="288" w:lineRule="auto"/>
            </w:pPr>
            <w:r/>
            <w:r>
              <w:rPr>
                <w:rFonts w:ascii="等线" w:hAnsi="等线" w:eastAsia="等线"/>
                <w:b w:val="0"/>
                <w:sz w:val="19"/>
              </w:rPr>
              <w:t>建设单位、施工单位</w:t>
            </w:r>
          </w:p>
        </w:tc>
        <w:tc>
          <w:tcPr>
            <w:tcW w:type="dxa" w:w="3515"/>
          </w:tcPr>
          <w:p>
            <w:pPr>
              <w:spacing w:line="288" w:lineRule="auto"/>
            </w:pPr>
            <w:r/>
            <w:r>
              <w:rPr>
                <w:rFonts w:ascii="等线" w:hAnsi="等线" w:eastAsia="等线"/>
                <w:b w:val="0"/>
                <w:sz w:val="19"/>
              </w:rPr>
              <w:t>开工前备案处理方案；外运前申请排放核准或处置许可，明确种类、数量、运输单位和处置设施</w:t>
            </w:r>
          </w:p>
        </w:tc>
        <w:tc>
          <w:tcPr>
            <w:tcW w:type="dxa" w:w="2154"/>
          </w:tcPr>
          <w:p>
            <w:pPr>
              <w:spacing w:line="288" w:lineRule="auto"/>
            </w:pPr>
            <w:r/>
            <w:r>
              <w:rPr>
                <w:rFonts w:ascii="等线" w:hAnsi="等线" w:eastAsia="等线"/>
                <w:b w:val="0"/>
                <w:sz w:val="19"/>
              </w:rPr>
              <w:t>备案回执、排放核准文件、处置许可证</w:t>
            </w:r>
          </w:p>
        </w:tc>
      </w:tr>
      <w:tr>
        <w:tc>
          <w:tcPr>
            <w:tcW w:type="dxa" w:w="1701"/>
          </w:tcPr>
          <w:p>
            <w:pPr>
              <w:spacing w:line="288" w:lineRule="auto"/>
            </w:pPr>
            <w:r/>
            <w:r>
              <w:rPr>
                <w:rFonts w:ascii="等线" w:hAnsi="等线" w:eastAsia="等线"/>
                <w:b w:val="0"/>
                <w:sz w:val="19"/>
              </w:rPr>
              <w:t>3 分类收集与现场暂存</w:t>
            </w:r>
          </w:p>
        </w:tc>
        <w:tc>
          <w:tcPr>
            <w:tcW w:type="dxa" w:w="1814"/>
          </w:tcPr>
          <w:p>
            <w:pPr>
              <w:spacing w:line="288" w:lineRule="auto"/>
            </w:pPr>
            <w:r/>
            <w:r>
              <w:rPr>
                <w:rFonts w:ascii="等线" w:hAnsi="等线" w:eastAsia="等线"/>
                <w:b w:val="0"/>
                <w:sz w:val="19"/>
              </w:rPr>
              <w:t>施工单位、物业服务单位</w:t>
            </w:r>
          </w:p>
        </w:tc>
        <w:tc>
          <w:tcPr>
            <w:tcW w:type="dxa" w:w="3515"/>
          </w:tcPr>
          <w:p>
            <w:pPr>
              <w:spacing w:line="288" w:lineRule="auto"/>
            </w:pPr>
            <w:r/>
            <w:r>
              <w:rPr>
                <w:rFonts w:ascii="等线" w:hAnsi="等线" w:eastAsia="等线"/>
                <w:b w:val="0"/>
                <w:sz w:val="19"/>
              </w:rPr>
              <w:t>划定分类贮存场所，按五类分别堆放，落实防尘防渗防滑坡措施</w:t>
            </w:r>
          </w:p>
        </w:tc>
        <w:tc>
          <w:tcPr>
            <w:tcW w:type="dxa" w:w="2154"/>
          </w:tcPr>
          <w:p>
            <w:pPr>
              <w:spacing w:line="288" w:lineRule="auto"/>
            </w:pPr>
            <w:r/>
            <w:r>
              <w:rPr>
                <w:rFonts w:ascii="等线" w:hAnsi="等线" w:eastAsia="等线"/>
                <w:b w:val="0"/>
                <w:sz w:val="19"/>
              </w:rPr>
              <w:t>现场分类台账、暂存点标识</w:t>
            </w:r>
          </w:p>
        </w:tc>
      </w:tr>
      <w:tr>
        <w:tc>
          <w:tcPr>
            <w:tcW w:type="dxa" w:w="1701"/>
          </w:tcPr>
          <w:p>
            <w:pPr>
              <w:spacing w:line="288" w:lineRule="auto"/>
            </w:pPr>
            <w:r/>
            <w:r>
              <w:rPr>
                <w:rFonts w:ascii="等线" w:hAnsi="等线" w:eastAsia="等线"/>
                <w:b w:val="0"/>
                <w:sz w:val="19"/>
              </w:rPr>
              <w:t>4 收运准入与联单</w:t>
            </w:r>
          </w:p>
        </w:tc>
        <w:tc>
          <w:tcPr>
            <w:tcW w:type="dxa" w:w="1814"/>
          </w:tcPr>
          <w:p>
            <w:pPr>
              <w:spacing w:line="288" w:lineRule="auto"/>
            </w:pPr>
            <w:r/>
            <w:r>
              <w:rPr>
                <w:rFonts w:ascii="等线" w:hAnsi="等线" w:eastAsia="等线"/>
                <w:b w:val="0"/>
                <w:sz w:val="19"/>
              </w:rPr>
              <w:t>运输单位</w:t>
            </w:r>
          </w:p>
        </w:tc>
        <w:tc>
          <w:tcPr>
            <w:tcW w:type="dxa" w:w="3515"/>
          </w:tcPr>
          <w:p>
            <w:pPr>
              <w:spacing w:line="288" w:lineRule="auto"/>
            </w:pPr>
            <w:r/>
            <w:r>
              <w:rPr>
                <w:rFonts w:ascii="等线" w:hAnsi="等线" w:eastAsia="等线"/>
                <w:b w:val="0"/>
                <w:sz w:val="19"/>
              </w:rPr>
              <w:t>使用有资质车辆，密闭运输，按指定线路时间行驶，一车一单记录种类数量流向</w:t>
            </w:r>
          </w:p>
        </w:tc>
        <w:tc>
          <w:tcPr>
            <w:tcW w:type="dxa" w:w="2154"/>
          </w:tcPr>
          <w:p>
            <w:pPr>
              <w:spacing w:line="288" w:lineRule="auto"/>
            </w:pPr>
            <w:r/>
            <w:r>
              <w:rPr>
                <w:rFonts w:ascii="等线" w:hAnsi="等线" w:eastAsia="等线"/>
                <w:b w:val="0"/>
                <w:sz w:val="19"/>
              </w:rPr>
              <w:t>电子运单或电子联单</w:t>
            </w:r>
          </w:p>
        </w:tc>
      </w:tr>
      <w:tr>
        <w:tc>
          <w:tcPr>
            <w:tcW w:type="dxa" w:w="1701"/>
          </w:tcPr>
          <w:p>
            <w:pPr>
              <w:spacing w:line="288" w:lineRule="auto"/>
            </w:pPr>
            <w:r/>
            <w:r>
              <w:rPr>
                <w:rFonts w:ascii="等线" w:hAnsi="等线" w:eastAsia="等线"/>
                <w:b w:val="0"/>
                <w:sz w:val="19"/>
              </w:rPr>
              <w:t>5 中转分拣与预处理</w:t>
            </w:r>
          </w:p>
        </w:tc>
        <w:tc>
          <w:tcPr>
            <w:tcW w:type="dxa" w:w="1814"/>
          </w:tcPr>
          <w:p>
            <w:pPr>
              <w:spacing w:line="288" w:lineRule="auto"/>
            </w:pPr>
            <w:r/>
            <w:r>
              <w:rPr>
                <w:rFonts w:ascii="等线" w:hAnsi="等线" w:eastAsia="等线"/>
                <w:b w:val="0"/>
                <w:sz w:val="19"/>
              </w:rPr>
              <w:t>中转分拣场所、码头经营单位</w:t>
            </w:r>
          </w:p>
        </w:tc>
        <w:tc>
          <w:tcPr>
            <w:tcW w:type="dxa" w:w="3515"/>
          </w:tcPr>
          <w:p>
            <w:pPr>
              <w:spacing w:line="288" w:lineRule="auto"/>
            </w:pPr>
            <w:r/>
            <w:r>
              <w:rPr>
                <w:rFonts w:ascii="等线" w:hAnsi="等线" w:eastAsia="等线"/>
                <w:b w:val="0"/>
                <w:sz w:val="19"/>
              </w:rPr>
              <w:t>对混合物料分拣后分别堆放；泥浆先做浆水分离和脱水干化</w:t>
            </w:r>
          </w:p>
        </w:tc>
        <w:tc>
          <w:tcPr>
            <w:tcW w:type="dxa" w:w="2154"/>
          </w:tcPr>
          <w:p>
            <w:pPr>
              <w:spacing w:line="288" w:lineRule="auto"/>
            </w:pPr>
            <w:r/>
            <w:r>
              <w:rPr>
                <w:rFonts w:ascii="等线" w:hAnsi="等线" w:eastAsia="等线"/>
                <w:b w:val="0"/>
                <w:sz w:val="19"/>
              </w:rPr>
              <w:t>分拣记录、预处理记录</w:t>
            </w:r>
          </w:p>
        </w:tc>
      </w:tr>
      <w:tr>
        <w:tc>
          <w:tcPr>
            <w:tcW w:type="dxa" w:w="1701"/>
          </w:tcPr>
          <w:p>
            <w:pPr>
              <w:spacing w:line="288" w:lineRule="auto"/>
            </w:pPr>
            <w:r/>
            <w:r>
              <w:rPr>
                <w:rFonts w:ascii="等线" w:hAnsi="等线" w:eastAsia="等线"/>
                <w:b w:val="0"/>
                <w:sz w:val="19"/>
              </w:rPr>
              <w:t>6 消纳、资源化与无害化</w:t>
            </w:r>
          </w:p>
        </w:tc>
        <w:tc>
          <w:tcPr>
            <w:tcW w:type="dxa" w:w="1814"/>
          </w:tcPr>
          <w:p>
            <w:pPr>
              <w:spacing w:line="288" w:lineRule="auto"/>
            </w:pPr>
            <w:r/>
            <w:r>
              <w:rPr>
                <w:rFonts w:ascii="等线" w:hAnsi="等线" w:eastAsia="等线"/>
                <w:b w:val="0"/>
                <w:sz w:val="19"/>
              </w:rPr>
              <w:t>消纳场所、资源化利用企业</w:t>
            </w:r>
          </w:p>
        </w:tc>
        <w:tc>
          <w:tcPr>
            <w:tcW w:type="dxa" w:w="3515"/>
          </w:tcPr>
          <w:p>
            <w:pPr>
              <w:spacing w:line="288" w:lineRule="auto"/>
            </w:pPr>
            <w:r/>
            <w:r>
              <w:rPr>
                <w:rFonts w:ascii="等线" w:hAnsi="等线" w:eastAsia="等线"/>
                <w:b w:val="0"/>
                <w:sz w:val="19"/>
              </w:rPr>
              <w:t>按核准内容接收；惰性物料制再生骨料和建材；无法利用的规范填埋</w:t>
            </w:r>
          </w:p>
        </w:tc>
        <w:tc>
          <w:tcPr>
            <w:tcW w:type="dxa" w:w="2154"/>
          </w:tcPr>
          <w:p>
            <w:pPr>
              <w:spacing w:line="288" w:lineRule="auto"/>
            </w:pPr>
            <w:r/>
            <w:r>
              <w:rPr>
                <w:rFonts w:ascii="等线" w:hAnsi="等线" w:eastAsia="等线"/>
                <w:b w:val="0"/>
                <w:sz w:val="19"/>
              </w:rPr>
              <w:t>消纳凭证、再生产品出库记录</w:t>
            </w:r>
          </w:p>
        </w:tc>
      </w:tr>
      <w:tr>
        <w:tc>
          <w:tcPr>
            <w:tcW w:type="dxa" w:w="1701"/>
          </w:tcPr>
          <w:p>
            <w:pPr>
              <w:spacing w:line="288" w:lineRule="auto"/>
            </w:pPr>
            <w:r/>
            <w:r>
              <w:rPr>
                <w:rFonts w:ascii="等线" w:hAnsi="等线" w:eastAsia="等线"/>
                <w:b w:val="0"/>
                <w:sz w:val="19"/>
              </w:rPr>
              <w:t>7 全过程监管与信用</w:t>
            </w:r>
          </w:p>
        </w:tc>
        <w:tc>
          <w:tcPr>
            <w:tcW w:type="dxa" w:w="1814"/>
          </w:tcPr>
          <w:p>
            <w:pPr>
              <w:spacing w:line="288" w:lineRule="auto"/>
            </w:pPr>
            <w:r/>
            <w:r>
              <w:rPr>
                <w:rFonts w:ascii="等线" w:hAnsi="等线" w:eastAsia="等线"/>
                <w:b w:val="0"/>
                <w:sz w:val="19"/>
              </w:rPr>
              <w:t>城市管理、住建、交通、水务、生态环境等部门</w:t>
            </w:r>
          </w:p>
        </w:tc>
        <w:tc>
          <w:tcPr>
            <w:tcW w:type="dxa" w:w="3515"/>
          </w:tcPr>
          <w:p>
            <w:pPr>
              <w:spacing w:line="288" w:lineRule="auto"/>
            </w:pPr>
            <w:r/>
            <w:r>
              <w:rPr>
                <w:rFonts w:ascii="等线" w:hAnsi="等线" w:eastAsia="等线"/>
                <w:b w:val="0"/>
                <w:sz w:val="19"/>
              </w:rPr>
              <w:t>平台归集数据，卫星遥感、视频监控、称重联网，违法行为纳入信用管理</w:t>
            </w:r>
          </w:p>
        </w:tc>
        <w:tc>
          <w:tcPr>
            <w:tcW w:type="dxa" w:w="2154"/>
          </w:tcPr>
          <w:p>
            <w:pPr>
              <w:spacing w:line="288" w:lineRule="auto"/>
            </w:pPr>
            <w:r/>
            <w:r>
              <w:rPr>
                <w:rFonts w:ascii="等线" w:hAnsi="等线" w:eastAsia="等线"/>
                <w:b w:val="0"/>
                <w:sz w:val="19"/>
              </w:rPr>
              <w:t>平台监管记录、信用记录</w:t>
            </w:r>
          </w:p>
        </w:tc>
      </w:tr>
    </w:tbl>
    <w:p/>
    <w:p>
      <w:pPr>
        <w:spacing w:after="120" w:line="324" w:lineRule="auto"/>
        <w:ind w:firstLine="440"/>
      </w:pPr>
      <w:r>
        <w:rPr>
          <w:rFonts w:ascii="等线" w:hAnsi="等线" w:eastAsia="等线"/>
          <w:b w:val="0"/>
          <w:sz w:val="22"/>
        </w:rPr>
        <w:t>值得单独强调的是第4环节。四座城市都把电子凭证当作链条闭合的技术抓手：北京称电子运单，实行一辆车对应一份，如实记录种类、数量和流向；深圳称电子联单，在排放核准或备案信息录入平台后生成电子项目档案，再按顺序生成联单编号；上海在运输环节要求车船携带处置证副本并安装可记录路线、时间、场所和载重的电子信息装置。天津在2016年的资源化利用办法中已采用IC卡信息化管理，2025年后按国家要求转向全过程电子联单。</w:t>
      </w:r>
    </w:p>
    <w:p>
      <w:pPr>
        <w:spacing w:after="120" w:line="324" w:lineRule="auto"/>
        <w:ind w:firstLine="440"/>
      </w:pPr>
      <w:r>
        <w:rPr>
          <w:rFonts w:ascii="等线" w:hAnsi="等线" w:eastAsia="等线"/>
          <w:b w:val="0"/>
          <w:sz w:val="22"/>
        </w:rPr>
        <w:t>另一个关键点是"产生方付费"。国家文件明确按"谁产生、谁付费"原则支付运输、利用、处置费用，并鼓励处理企业公开价格。北京、天津的规章也各自确立了产生者承担处置责任或费用的规则。</w:t>
      </w:r>
    </w:p>
    <w:p>
      <w:pPr>
        <w:spacing w:before="320" w:after="120"/>
      </w:pPr>
      <w:r>
        <w:rPr>
          <w:rFonts w:ascii="等线" w:hAnsi="等线" w:eastAsia="等线"/>
          <w:b/>
          <w:sz w:val="30"/>
        </w:rPr>
        <w:t>五、四城处理流程</w:t>
      </w:r>
    </w:p>
    <w:p>
      <w:pPr>
        <w:spacing w:before="200" w:after="80"/>
      </w:pPr>
      <w:r>
        <w:rPr>
          <w:rFonts w:ascii="等线" w:hAnsi="等线" w:eastAsia="等线"/>
          <w:b/>
          <w:sz w:val="25"/>
        </w:rPr>
        <w:t>5.1 北京</w:t>
      </w:r>
    </w:p>
    <w:p>
      <w:pPr>
        <w:spacing w:after="120" w:line="324" w:lineRule="auto"/>
        <w:ind w:firstLine="440"/>
      </w:pPr>
      <w:r>
        <w:rPr>
          <w:rFonts w:ascii="等线" w:hAnsi="等线" w:eastAsia="等线"/>
          <w:b w:val="0"/>
          <w:sz w:val="22"/>
        </w:rPr>
        <w:t>依据《北京市建筑垃圾处置管理规定》（北京市人民政府令第293号，2020年7月21日市人民政府第77次常务会议通过，2020年10月1日起施行；2025年4月11日北京市人民政府令第315号修改）。主管部门为市城市管理部门，区城市管理部门负责本区域具体管理，街道和乡镇负责日常管理。</w:t>
      </w:r>
    </w:p>
    <w:p>
      <w:pPr>
        <w:spacing w:after="120" w:line="324" w:lineRule="auto"/>
        <w:ind w:firstLine="440"/>
      </w:pPr>
      <w:r>
        <w:rPr>
          <w:rFonts w:ascii="等线" w:hAnsi="等线" w:eastAsia="等线"/>
          <w:b w:val="0"/>
          <w:sz w:val="22"/>
        </w:rPr>
        <w:t>定义上，北京把建筑垃圾界定为新建、改建、扩建和拆除各类建筑物、构筑物、管网等，强制拆除违法建设以及装饰装修房屋过程中产生的弃土（包括但不限于开槽渣土、级配砂石）、弃料以及其他固体废物。</w:t>
      </w:r>
    </w:p>
    <w:p>
      <w:pPr>
        <w:spacing w:after="120" w:line="324" w:lineRule="auto"/>
        <w:ind w:firstLine="440"/>
      </w:pPr>
      <w:r>
        <w:rPr>
          <w:rFonts w:ascii="等线" w:hAnsi="等线" w:eastAsia="等线"/>
          <w:b w:val="0"/>
          <w:sz w:val="22"/>
        </w:rPr>
        <w:t>分类处置按第十二条执行：对弃土，自行或委托他人采取工程回填、矿坑修复、堆山造景、低洼填平等资源化方式处置；对弃料及其他固体废物，有再利用价值的进行资源化利用，不具有再利用价值的送至建筑垃圾消纳场所处置。市城市管理部门会同有关部门制定本市建筑垃圾分类处置的管理规范和标准。</w:t>
      </w:r>
    </w:p>
    <w:p>
      <w:pPr>
        <w:spacing w:after="120" w:line="324" w:lineRule="auto"/>
        <w:ind w:firstLine="440"/>
      </w:pPr>
      <w:r>
        <w:rPr>
          <w:rFonts w:ascii="等线" w:hAnsi="等线" w:eastAsia="等线"/>
          <w:b w:val="0"/>
          <w:sz w:val="22"/>
        </w:rPr>
        <w:t>流程上，建设单位先要求勘察设计单位测算并预估工程产生的建筑垃圾种类和数量，据此制定治理方案，明确产生量、处置方式和清运工期，并在施工合同中约定；概算、预算中单独列支贮存、运输、消纳、利用等处置费用。委托他人处置时，按就近原则选择消纳场所并签订消纳处置协议，选择有资质的运输服务单位并签订运输服务合同，再持治理方案、消纳处置协议和运输服务合同向区城市管理部门备案消纳情况。</w:t>
      </w:r>
    </w:p>
    <w:p>
      <w:pPr>
        <w:spacing w:after="120" w:line="324" w:lineRule="auto"/>
        <w:ind w:firstLine="440"/>
      </w:pPr>
      <w:r>
        <w:rPr>
          <w:rFonts w:ascii="等线" w:hAnsi="等线" w:eastAsia="等线"/>
          <w:b w:val="0"/>
          <w:sz w:val="22"/>
        </w:rPr>
        <w:t>运输环节要求运输服务单位取得区城市管理部门核发的生活垃圾运输经营许可，车辆符合标准、安装具备定位和称重功能的车载监控终端，并取得建筑垃圾准运许可。实行电子运单制度，一辆车对应一份。消纳场所和临时处置点需取得区城市管理部门核发的设置许可，出入口设置双向称重系统，接收量、处置量、再生产品供应数据实时传输至本市建筑垃圾管理和服务平台。</w:t>
      </w:r>
    </w:p>
    <w:p>
      <w:pPr>
        <w:spacing w:after="120" w:line="324" w:lineRule="auto"/>
        <w:ind w:firstLine="440"/>
      </w:pPr>
      <w:r>
        <w:rPr>
          <w:rFonts w:ascii="等线" w:hAnsi="等线" w:eastAsia="等线"/>
          <w:b w:val="0"/>
          <w:sz w:val="22"/>
        </w:rPr>
        <w:t>装修垃圾单独安排：居民装饰装修产生的建筑垃圾按生活垃圾分类管理责任人规定的时间、地点和要求单独堆放，并承担处置费用；管理责任人制定治理方案、设置临时贮存点并采取防尘措施，做到每5日内至少清运一次。</w:t>
      </w:r>
    </w:p>
    <w:p>
      <w:pPr>
        <w:spacing w:after="120" w:line="324" w:lineRule="auto"/>
        <w:ind w:firstLine="440"/>
      </w:pPr>
      <w:r>
        <w:rPr>
          <w:rFonts w:ascii="等线" w:hAnsi="等线" w:eastAsia="等线"/>
          <w:b w:val="0"/>
          <w:sz w:val="22"/>
        </w:rPr>
        <w:t>北京还建立了跨区异地处置调剂补偿机制，并对违法处置设置较高罚则，例如施工单位未按规定处置最高可处100万元罚款。</w:t>
      </w:r>
    </w:p>
    <w:p>
      <w:pPr>
        <w:spacing w:before="200" w:after="80"/>
      </w:pPr>
      <w:r>
        <w:rPr>
          <w:rFonts w:ascii="等线" w:hAnsi="等线" w:eastAsia="等线"/>
          <w:b/>
          <w:sz w:val="25"/>
        </w:rPr>
        <w:t>5.2 上海</w:t>
      </w:r>
    </w:p>
    <w:p>
      <w:pPr>
        <w:spacing w:after="120" w:line="324" w:lineRule="auto"/>
        <w:ind w:firstLine="440"/>
      </w:pPr>
      <w:r>
        <w:rPr>
          <w:rFonts w:ascii="等线" w:hAnsi="等线" w:eastAsia="等线"/>
          <w:b w:val="0"/>
          <w:sz w:val="22"/>
        </w:rPr>
        <w:t>依据《上海市建筑垃圾处理管理规定》（2017年9月18日上海市人民政府令第57号公布，2018年1月1日起施行；根据2025年1月17日上海市人民政府令第16号修正，2025年3月15日起施行）。主管部门是市绿化市容行政管理部门，区绿化市容部门负责辖区内具体管理，市住房城乡建设部门负责建筑废弃混凝土回收利用。</w:t>
      </w:r>
    </w:p>
    <w:p>
      <w:pPr>
        <w:spacing w:after="120" w:line="324" w:lineRule="auto"/>
        <w:ind w:firstLine="440"/>
      </w:pPr>
      <w:r>
        <w:rPr>
          <w:rFonts w:ascii="等线" w:hAnsi="等线" w:eastAsia="等线"/>
          <w:b w:val="0"/>
          <w:sz w:val="22"/>
        </w:rPr>
        <w:t>上海的顶层分类是两类：建设工程垃圾和装修垃圾。建设工程垃圾指新建、改建、扩建、修缮或拆除等过程中产生的弃土、弃料和其他废弃物；装修垃圾指按照国家规定无需实施施工许可管理的房屋装饰装修过程中产生的弃料和其他废弃物。</w:t>
      </w:r>
    </w:p>
    <w:p>
      <w:pPr>
        <w:spacing w:after="120" w:line="324" w:lineRule="auto"/>
        <w:ind w:firstLine="440"/>
      </w:pPr>
      <w:r>
        <w:rPr>
          <w:rFonts w:ascii="等线" w:hAnsi="等线" w:eastAsia="等线"/>
          <w:b w:val="0"/>
          <w:sz w:val="22"/>
        </w:rPr>
        <w:t>在处理上，第六条把物料分成四条路径：工程渣土进入消纳场所消纳；泥浆进入泥浆预处理设施预处理后进入消纳场所；装修垃圾和拆除工程产生的废弃物经分拣后进入消纳场所和资源化利用设施；建筑废弃混凝土进入资源化利用设施利用。</w:t>
      </w:r>
    </w:p>
    <w:p>
      <w:pPr>
        <w:spacing w:after="120" w:line="324" w:lineRule="auto"/>
        <w:ind w:firstLine="440"/>
      </w:pPr>
      <w:r>
        <w:rPr>
          <w:rFonts w:ascii="等线" w:hAnsi="等线" w:eastAsia="等线"/>
          <w:b w:val="0"/>
          <w:sz w:val="22"/>
        </w:rPr>
        <w:t>流程上，产生建设工程垃圾的建设单位在招投标或直接发包时，要明确规范排放、分类处理和禁止混同的要求；概算预算中专门列支运输费和处置费。施工单位向区绿化市容部门申报处置，区部门自受理之日起5个工作日内审核，符合规定的核发处置证，并按运输车辆、船舶数量配发相应份数的处置证副本。处置证载明施工和运输单位、工程名称地点、排放期限、中转码头、中转分拣场所、消纳场所、资源化利用设施、车牌船号、线路和时间等事项。</w:t>
      </w:r>
    </w:p>
    <w:p>
      <w:pPr>
        <w:spacing w:after="120" w:line="324" w:lineRule="auto"/>
        <w:ind w:firstLine="440"/>
      </w:pPr>
      <w:r>
        <w:rPr>
          <w:rFonts w:ascii="等线" w:hAnsi="等线" w:eastAsia="等线"/>
          <w:b w:val="0"/>
          <w:sz w:val="22"/>
        </w:rPr>
        <w:t>运输环节要求车辆船舶统一标识、统一安装记录路线时间场所和载重的电子信息装置，随车船携带处置证副本，按规定区域路线时间行驶，不得超载。消纳场所、资源化利用设施、中转码头和中转分拣场所实行备案管理，并需具备视频监控、电子信息装置、车辆冲洗等条件。中转分拣场所要按分拣规范分拣并分别堆放。</w:t>
      </w:r>
    </w:p>
    <w:p>
      <w:pPr>
        <w:spacing w:after="120" w:line="324" w:lineRule="auto"/>
        <w:ind w:firstLine="440"/>
      </w:pPr>
      <w:r>
        <w:rPr>
          <w:rFonts w:ascii="等线" w:hAnsi="等线" w:eastAsia="等线"/>
          <w:b w:val="0"/>
          <w:sz w:val="22"/>
        </w:rPr>
        <w:t>装修垃圾实行投放管理责任人制度，责任人设置专门的装修垃圾堆放场所；清运作业服务单位通过招投标确定，费用标准在物业管理区域公布，行业协会定期汇总各区清运价格信息并公布。</w:t>
      </w:r>
    </w:p>
    <w:p>
      <w:pPr>
        <w:spacing w:after="120" w:line="324" w:lineRule="auto"/>
        <w:ind w:firstLine="440"/>
      </w:pPr>
      <w:r>
        <w:rPr>
          <w:rFonts w:ascii="等线" w:hAnsi="等线" w:eastAsia="等线"/>
          <w:b w:val="0"/>
          <w:sz w:val="22"/>
        </w:rPr>
        <w:t>上海在资源化推广上力度突出：实施建筑垃圾资源化利用产品强制使用制度，产品应符合标准并按规定范围、比例和质量使用。此外，上海把建筑垃圾处理管理纳入城市运行"一网统管"，加强日常巡查和派单处置。</w:t>
      </w:r>
    </w:p>
    <w:p>
      <w:pPr>
        <w:spacing w:before="200" w:after="80"/>
      </w:pPr>
      <w:r>
        <w:rPr>
          <w:rFonts w:ascii="等线" w:hAnsi="等线" w:eastAsia="等线"/>
          <w:b/>
          <w:sz w:val="25"/>
        </w:rPr>
        <w:t>5.3 深圳</w:t>
      </w:r>
    </w:p>
    <w:p>
      <w:pPr>
        <w:spacing w:after="120" w:line="324" w:lineRule="auto"/>
        <w:ind w:firstLine="440"/>
      </w:pPr>
      <w:r>
        <w:rPr>
          <w:rFonts w:ascii="等线" w:hAnsi="等线" w:eastAsia="等线"/>
          <w:b w:val="0"/>
          <w:sz w:val="22"/>
        </w:rPr>
        <w:t>依据《深圳市建筑废弃物管理办法》（深圳市人民政府令，2020年7月1日起施行，同时废止2013年深圳市人民政府令第260号发布的《深圳市建筑废弃物运输和处置管理办法》）。市建设行政主管部门是主管部门，交通运输、水务、规划和自然资源、城管和综合执法、公安交警、生态环境等部门按职责分工。</w:t>
      </w:r>
    </w:p>
    <w:p>
      <w:pPr>
        <w:spacing w:after="120" w:line="324" w:lineRule="auto"/>
        <w:ind w:firstLine="440"/>
      </w:pPr>
      <w:r>
        <w:rPr>
          <w:rFonts w:ascii="等线" w:hAnsi="等线" w:eastAsia="等线"/>
          <w:b w:val="0"/>
          <w:sz w:val="22"/>
        </w:rPr>
        <w:t>深圳的分类最清晰，第二条和第六十三条把建筑废弃物分为五类并给出定义：工程渣土（地下空间开挖、场地平整等施工产生的弃渣弃土）、拆除废弃物（拆除各类建（构）筑物、管网等产生的废弃混凝土、砖瓦、沥青等）、工程泥浆（钻孔桩基、地下连续墙、盾构、水平定向钻及泥水顶管等施工产生的泥浆）、施工废弃物（新建改建扩建各类建（构）筑物、管网等工程产生的混凝土、砖瓦、陶瓷、木材、玻璃、金属、沥青及塑料等轻物质）、装修废弃物（房屋装修过程中产生的混凝土、砖瓦、陶瓷、木材、玻璃、金属、沥青及塑料等轻物质）。消纳场所则分为固定消纳场、综合利用厂、临时消纳点、回填工地和水运中转设施五类。</w:t>
      </w:r>
    </w:p>
    <w:p>
      <w:pPr>
        <w:spacing w:after="120" w:line="324" w:lineRule="auto"/>
        <w:ind w:firstLine="440"/>
      </w:pPr>
      <w:r>
        <w:rPr>
          <w:rFonts w:ascii="等线" w:hAnsi="等线" w:eastAsia="等线"/>
          <w:b w:val="0"/>
          <w:sz w:val="22"/>
        </w:rPr>
        <w:t>流程上，施工单位编制排放处置计划（含分类方案、减量措施、综合利用方案、污染防治措施等），向施工场地外排放前按部门职责分工分别向建设、交通运输、水务部门申请排放核准。申请材料包括土地使用或拆除装修等批准文件、排放处置计划、与备案运输单位签订的运输合同、消纳场所同意消纳的证明；拆除工程还要提交综合利用材料。核准部门自受理之日起15个工作日内作出决定，核准文件载明类别数量、运输单位及车辆号牌、消纳场所等信息。</w:t>
      </w:r>
    </w:p>
    <w:p>
      <w:pPr>
        <w:spacing w:after="120" w:line="324" w:lineRule="auto"/>
        <w:ind w:firstLine="440"/>
      </w:pPr>
      <w:r>
        <w:rPr>
          <w:rFonts w:ascii="等线" w:hAnsi="等线" w:eastAsia="等线"/>
          <w:b w:val="0"/>
          <w:sz w:val="22"/>
        </w:rPr>
        <w:t>电子联单是深圳的核心机制：排放核准或综合利用厂排放备案信息录入信息平台后生成电子项目档案，在档案编号下依次排序生成电子联单编号，实现全流程可追溯。</w:t>
      </w:r>
    </w:p>
    <w:p>
      <w:pPr>
        <w:spacing w:after="120" w:line="324" w:lineRule="auto"/>
        <w:ind w:firstLine="440"/>
      </w:pPr>
      <w:r>
        <w:rPr>
          <w:rFonts w:ascii="等线" w:hAnsi="等线" w:eastAsia="等线"/>
          <w:b w:val="0"/>
          <w:sz w:val="22"/>
        </w:rPr>
        <w:t>现场分类要求明确：新建改建扩建和装修工程按计划分类收集运输工程渣土、工程泥浆、施工废弃物和装修废弃物并建立台账，工程泥浆实施浆水分离和现场沉淀脱水干化；拆除工程分类收集运输拆除废弃物并落实综合利用。</w:t>
      </w:r>
    </w:p>
    <w:p>
      <w:pPr>
        <w:spacing w:after="120" w:line="324" w:lineRule="auto"/>
        <w:ind w:firstLine="440"/>
      </w:pPr>
      <w:r>
        <w:rPr>
          <w:rFonts w:ascii="等线" w:hAnsi="等线" w:eastAsia="等线"/>
          <w:b w:val="0"/>
          <w:sz w:val="22"/>
        </w:rPr>
        <w:t>家庭或门店内部装饰装修、修缮维护等依法不需要施工许可的装修活动，产生的装修废弃物由业主或物业服务单位分类收集，无需申请排放核准；无污染的废弃砖渣、混凝土、陶瓷等可运送至消纳场所处理。</w:t>
      </w:r>
    </w:p>
    <w:p>
      <w:pPr>
        <w:spacing w:after="120" w:line="324" w:lineRule="auto"/>
        <w:ind w:firstLine="440"/>
      </w:pPr>
      <w:r>
        <w:rPr>
          <w:rFonts w:ascii="等线" w:hAnsi="等线" w:eastAsia="等线"/>
          <w:b w:val="0"/>
          <w:sz w:val="22"/>
        </w:rPr>
        <w:t>资源化推广上，深圳对综合利用产品实行产品认定制度，由市建设主管部门列入产品目录并向社会公布，编制综合利用产品及适用部位目录；政府投资工程的施工图设计文件应当体现综合利用产品及适用部位并在工程中使用。固定消纳场不得消纳含水率高于40%的工程渣土。</w:t>
      </w:r>
    </w:p>
    <w:p>
      <w:pPr>
        <w:spacing w:before="200" w:after="80"/>
      </w:pPr>
      <w:r>
        <w:rPr>
          <w:rFonts w:ascii="等线" w:hAnsi="等线" w:eastAsia="等线"/>
          <w:b/>
          <w:sz w:val="25"/>
        </w:rPr>
        <w:t>5.4 天津</w:t>
      </w:r>
    </w:p>
    <w:p>
      <w:pPr>
        <w:spacing w:after="120" w:line="324" w:lineRule="auto"/>
        <w:ind w:firstLine="440"/>
      </w:pPr>
      <w:r>
        <w:rPr>
          <w:rFonts w:ascii="等线" w:hAnsi="等线" w:eastAsia="等线"/>
          <w:b w:val="0"/>
          <w:sz w:val="22"/>
        </w:rPr>
        <w:t>天津目前的专门文件是2016年由市建委牵头、会同市国土房管局、市规划局等多个部门联合会签印发的《天津市建筑垃圾资源化利用管理办法》，2016年10月1日起施行。该办法把建筑垃圾界定为新建、改建、扩建和拆除各类建筑物、构筑物等所产生的弃土、弃料及其他废弃物，确立"谁产生、谁付费，谁收集、谁处置"原则，运输车辆实行IC卡信息化管理，资源化利用信息平台实现信息共享并按规定向社会公布；建设、施工、运输等单位未按规定处置和排放的不良信息纳入市场主体信用信息评价体系。在扶持政策上，符合划拨用地目录的资源化处置项目用地可采取划拨方式供地，符合条件的享受增值税即征即退，资源综合利用产品收入在计算应纳税所得额时减按90%计入，并对资源化处置利用企业给予一定补贴。</w:t>
      </w:r>
    </w:p>
    <w:p>
      <w:pPr>
        <w:spacing w:after="120" w:line="324" w:lineRule="auto"/>
        <w:ind w:firstLine="440"/>
      </w:pPr>
      <w:r>
        <w:rPr>
          <w:rFonts w:ascii="等线" w:hAnsi="等线" w:eastAsia="等线"/>
          <w:b w:val="0"/>
          <w:sz w:val="22"/>
        </w:rPr>
        <w:t>2025年国家《关于进一步加强城市建筑垃圾治理的意见》出台后，天津制定《天津市全面加强建筑垃圾治理工作方案》，各区据此出台实施方案。以北辰区2026年8月印发的《北辰区全面加强建筑垃圾治理工作方案》为例，方案依据《建筑垃圾处理技术标准》把建筑垃圾分为工程渣土、工程泥浆、工程垃圾、拆除垃圾、装修垃圾五类，实行分类处理，严禁与生活垃圾混合处理；工程渣土和干化处理后的工程泥浆可用于土方平衡、场地平整、道路建设、环境治理或烧结制品，工程垃圾、拆除垃圾、装修垃圾优先用于生产再生骨料、再生建材、道路材料。</w:t>
      </w:r>
    </w:p>
    <w:p>
      <w:pPr>
        <w:spacing w:after="120" w:line="324" w:lineRule="auto"/>
        <w:ind w:firstLine="440"/>
      </w:pPr>
      <w:r>
        <w:rPr>
          <w:rFonts w:ascii="等线" w:hAnsi="等线" w:eastAsia="等线"/>
          <w:b w:val="0"/>
          <w:sz w:val="22"/>
        </w:rPr>
        <w:t>流程上，天津强调四步：一是落实处理方案备案，工程施工单位在开工前将工程概况、产生量与种类以及源头减量、分类收集、处置利用的目标和措施备案；二是持续开展产生核准，工程建设单位在外运建筑垃圾前办理产生核准，明确种类、产生量、运输单位、处理设施等信息，并由政务服务部门办理城市建筑垃圾处置许可，取得核准后严格按核准内容处理；三是规范运输，依法整治无证运营、假牌套牌、未密闭运输、超载超限、沿途遗撒等行为；四是处置设施监管，查处未落实污染防控措施、超核准范围处理建筑垃圾等行为，并利用无人机、卫星遥感实施动态巡查。</w:t>
      </w:r>
    </w:p>
    <w:p>
      <w:pPr>
        <w:spacing w:after="120" w:line="324" w:lineRule="auto"/>
        <w:ind w:firstLine="440"/>
      </w:pPr>
      <w:r>
        <w:rPr>
          <w:rFonts w:ascii="等线" w:hAnsi="等线" w:eastAsia="等线"/>
          <w:b w:val="0"/>
          <w:sz w:val="22"/>
        </w:rPr>
        <w:t>装修垃圾方面，天津依据《天津市生活垃圾管理条例》确定生活垃圾分类投放管理责任人，小区（村）装修垃圾在责任人规定的暂存点单独存放，禁止投入生活垃圾收集设施，暂存点设置明显标识并采取污染防治措施，鼓励提前预约和箱体收集。费用方面按"谁产生、谁付费"原则由产生方结算运输、处置利用费用。目标是到2027年全过程管理体系基本健全，到2030年资源化利用率达到55%以上。</w:t>
      </w:r>
    </w:p>
    <w:p>
      <w:pPr>
        <w:spacing w:before="320" w:after="120"/>
      </w:pPr>
      <w:r>
        <w:rPr>
          <w:rFonts w:ascii="等线" w:hAnsi="等线" w:eastAsia="等线"/>
          <w:b/>
          <w:sz w:val="30"/>
        </w:rPr>
        <w:t>六、四城对比</w:t>
      </w:r>
    </w:p>
    <w:p>
      <w:pPr>
        <w:spacing w:before="200" w:after="80"/>
      </w:pPr>
      <w:r>
        <w:rPr>
          <w:rFonts w:ascii="等线" w:hAnsi="等线" w:eastAsia="等线"/>
          <w:b/>
          <w:sz w:val="25"/>
        </w:rPr>
        <w:t>6.1 法规与主管部门</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020"/>
          </w:tcPr>
          <w:p>
            <w:r/>
            <w:r>
              <w:rPr>
                <w:rFonts w:ascii="等线" w:hAnsi="等线" w:eastAsia="等线"/>
                <w:b/>
                <w:sz w:val="20"/>
              </w:rPr>
              <w:t>城市</w:t>
            </w:r>
          </w:p>
        </w:tc>
        <w:tc>
          <w:tcPr>
            <w:tcW w:type="dxa" w:w="3628"/>
          </w:tcPr>
          <w:p>
            <w:r/>
            <w:r>
              <w:rPr>
                <w:rFonts w:ascii="等线" w:hAnsi="等线" w:eastAsia="等线"/>
                <w:b/>
                <w:sz w:val="20"/>
              </w:rPr>
              <w:t>主要依据</w:t>
            </w:r>
          </w:p>
        </w:tc>
        <w:tc>
          <w:tcPr>
            <w:tcW w:type="dxa" w:w="1474"/>
          </w:tcPr>
          <w:p>
            <w:r/>
            <w:r>
              <w:rPr>
                <w:rFonts w:ascii="等线" w:hAnsi="等线" w:eastAsia="等线"/>
                <w:b/>
                <w:sz w:val="20"/>
              </w:rPr>
              <w:t>施行时间</w:t>
            </w:r>
          </w:p>
        </w:tc>
        <w:tc>
          <w:tcPr>
            <w:tcW w:type="dxa" w:w="1928"/>
          </w:tcPr>
          <w:p>
            <w:r/>
            <w:r>
              <w:rPr>
                <w:rFonts w:ascii="等线" w:hAnsi="等线" w:eastAsia="等线"/>
                <w:b/>
                <w:sz w:val="20"/>
              </w:rPr>
              <w:t>主管部门</w:t>
            </w:r>
          </w:p>
        </w:tc>
        <w:tc>
          <w:tcPr>
            <w:tcW w:type="dxa" w:w="2041"/>
          </w:tcPr>
          <w:p>
            <w:r/>
            <w:r>
              <w:rPr>
                <w:rFonts w:ascii="等线" w:hAnsi="等线" w:eastAsia="等线"/>
                <w:b/>
                <w:sz w:val="20"/>
              </w:rPr>
              <w:t>最新修改</w:t>
            </w:r>
          </w:p>
        </w:tc>
      </w:tr>
      <w:tr>
        <w:tc>
          <w:tcPr>
            <w:tcW w:type="dxa" w:w="1020"/>
          </w:tcPr>
          <w:p>
            <w:pPr>
              <w:spacing w:line="288" w:lineRule="auto"/>
            </w:pPr>
            <w:r/>
            <w:r>
              <w:rPr>
                <w:rFonts w:ascii="等线" w:hAnsi="等线" w:eastAsia="等线"/>
                <w:b w:val="0"/>
                <w:sz w:val="19"/>
              </w:rPr>
              <w:t>北京</w:t>
            </w:r>
          </w:p>
        </w:tc>
        <w:tc>
          <w:tcPr>
            <w:tcW w:type="dxa" w:w="3628"/>
          </w:tcPr>
          <w:p>
            <w:pPr>
              <w:spacing w:line="288" w:lineRule="auto"/>
            </w:pPr>
            <w:r/>
            <w:r>
              <w:rPr>
                <w:rFonts w:ascii="等线" w:hAnsi="等线" w:eastAsia="等线"/>
                <w:b w:val="0"/>
                <w:sz w:val="19"/>
              </w:rPr>
              <w:t>《北京市建筑垃圾处置管理规定》市政府令第293号</w:t>
            </w:r>
          </w:p>
        </w:tc>
        <w:tc>
          <w:tcPr>
            <w:tcW w:type="dxa" w:w="1474"/>
          </w:tcPr>
          <w:p>
            <w:pPr>
              <w:spacing w:line="288" w:lineRule="auto"/>
            </w:pPr>
            <w:r/>
            <w:r>
              <w:rPr>
                <w:rFonts w:ascii="等线" w:hAnsi="等线" w:eastAsia="等线"/>
                <w:b w:val="0"/>
                <w:sz w:val="19"/>
              </w:rPr>
              <w:t>2020年10月1日</w:t>
            </w:r>
          </w:p>
        </w:tc>
        <w:tc>
          <w:tcPr>
            <w:tcW w:type="dxa" w:w="1928"/>
          </w:tcPr>
          <w:p>
            <w:pPr>
              <w:spacing w:line="288" w:lineRule="auto"/>
            </w:pPr>
            <w:r/>
            <w:r>
              <w:rPr>
                <w:rFonts w:ascii="等线" w:hAnsi="等线" w:eastAsia="等线"/>
                <w:b w:val="0"/>
                <w:sz w:val="19"/>
              </w:rPr>
              <w:t>市城市管理部门</w:t>
            </w:r>
          </w:p>
        </w:tc>
        <w:tc>
          <w:tcPr>
            <w:tcW w:type="dxa" w:w="2041"/>
          </w:tcPr>
          <w:p>
            <w:pPr>
              <w:spacing w:line="288" w:lineRule="auto"/>
            </w:pPr>
            <w:r/>
            <w:r>
              <w:rPr>
                <w:rFonts w:ascii="等线" w:hAnsi="等线" w:eastAsia="等线"/>
                <w:b w:val="0"/>
                <w:sz w:val="19"/>
              </w:rPr>
              <w:t>2025年市政府令第315号修改</w:t>
            </w:r>
          </w:p>
        </w:tc>
      </w:tr>
      <w:tr>
        <w:tc>
          <w:tcPr>
            <w:tcW w:type="dxa" w:w="1020"/>
          </w:tcPr>
          <w:p>
            <w:pPr>
              <w:spacing w:line="288" w:lineRule="auto"/>
            </w:pPr>
            <w:r/>
            <w:r>
              <w:rPr>
                <w:rFonts w:ascii="等线" w:hAnsi="等线" w:eastAsia="等线"/>
                <w:b w:val="0"/>
                <w:sz w:val="19"/>
              </w:rPr>
              <w:t>上海</w:t>
            </w:r>
          </w:p>
        </w:tc>
        <w:tc>
          <w:tcPr>
            <w:tcW w:type="dxa" w:w="3628"/>
          </w:tcPr>
          <w:p>
            <w:pPr>
              <w:spacing w:line="288" w:lineRule="auto"/>
            </w:pPr>
            <w:r/>
            <w:r>
              <w:rPr>
                <w:rFonts w:ascii="等线" w:hAnsi="等线" w:eastAsia="等线"/>
                <w:b w:val="0"/>
                <w:sz w:val="19"/>
              </w:rPr>
              <w:t>《上海市建筑垃圾处理管理规定》沪府令第57号</w:t>
            </w:r>
          </w:p>
        </w:tc>
        <w:tc>
          <w:tcPr>
            <w:tcW w:type="dxa" w:w="1474"/>
          </w:tcPr>
          <w:p>
            <w:pPr>
              <w:spacing w:line="288" w:lineRule="auto"/>
            </w:pPr>
            <w:r/>
            <w:r>
              <w:rPr>
                <w:rFonts w:ascii="等线" w:hAnsi="等线" w:eastAsia="等线"/>
                <w:b w:val="0"/>
                <w:sz w:val="19"/>
              </w:rPr>
              <w:t>2018年1月1日</w:t>
            </w:r>
          </w:p>
        </w:tc>
        <w:tc>
          <w:tcPr>
            <w:tcW w:type="dxa" w:w="1928"/>
          </w:tcPr>
          <w:p>
            <w:pPr>
              <w:spacing w:line="288" w:lineRule="auto"/>
            </w:pPr>
            <w:r/>
            <w:r>
              <w:rPr>
                <w:rFonts w:ascii="等线" w:hAnsi="等线" w:eastAsia="等线"/>
                <w:b w:val="0"/>
                <w:sz w:val="19"/>
              </w:rPr>
              <w:t>市绿化市容行政管理部门</w:t>
            </w:r>
          </w:p>
        </w:tc>
        <w:tc>
          <w:tcPr>
            <w:tcW w:type="dxa" w:w="2041"/>
          </w:tcPr>
          <w:p>
            <w:pPr>
              <w:spacing w:line="288" w:lineRule="auto"/>
            </w:pPr>
            <w:r/>
            <w:r>
              <w:rPr>
                <w:rFonts w:ascii="等线" w:hAnsi="等线" w:eastAsia="等线"/>
                <w:b w:val="0"/>
                <w:sz w:val="19"/>
              </w:rPr>
              <w:t>2025年沪府令第16号修正</w:t>
            </w:r>
          </w:p>
        </w:tc>
      </w:tr>
      <w:tr>
        <w:tc>
          <w:tcPr>
            <w:tcW w:type="dxa" w:w="1020"/>
          </w:tcPr>
          <w:p>
            <w:pPr>
              <w:spacing w:line="288" w:lineRule="auto"/>
            </w:pPr>
            <w:r/>
            <w:r>
              <w:rPr>
                <w:rFonts w:ascii="等线" w:hAnsi="等线" w:eastAsia="等线"/>
                <w:b w:val="0"/>
                <w:sz w:val="19"/>
              </w:rPr>
              <w:t>深圳</w:t>
            </w:r>
          </w:p>
        </w:tc>
        <w:tc>
          <w:tcPr>
            <w:tcW w:type="dxa" w:w="3628"/>
          </w:tcPr>
          <w:p>
            <w:pPr>
              <w:spacing w:line="288" w:lineRule="auto"/>
            </w:pPr>
            <w:r/>
            <w:r>
              <w:rPr>
                <w:rFonts w:ascii="等线" w:hAnsi="等线" w:eastAsia="等线"/>
                <w:b w:val="0"/>
                <w:sz w:val="19"/>
              </w:rPr>
              <w:t>《深圳市建筑废弃物管理办法》</w:t>
            </w:r>
          </w:p>
        </w:tc>
        <w:tc>
          <w:tcPr>
            <w:tcW w:type="dxa" w:w="1474"/>
          </w:tcPr>
          <w:p>
            <w:pPr>
              <w:spacing w:line="288" w:lineRule="auto"/>
            </w:pPr>
            <w:r/>
            <w:r>
              <w:rPr>
                <w:rFonts w:ascii="等线" w:hAnsi="等线" w:eastAsia="等线"/>
                <w:b w:val="0"/>
                <w:sz w:val="19"/>
              </w:rPr>
              <w:t>2020年7月1日</w:t>
            </w:r>
          </w:p>
        </w:tc>
        <w:tc>
          <w:tcPr>
            <w:tcW w:type="dxa" w:w="1928"/>
          </w:tcPr>
          <w:p>
            <w:pPr>
              <w:spacing w:line="288" w:lineRule="auto"/>
            </w:pPr>
            <w:r/>
            <w:r>
              <w:rPr>
                <w:rFonts w:ascii="等线" w:hAnsi="等线" w:eastAsia="等线"/>
                <w:b w:val="0"/>
                <w:sz w:val="19"/>
              </w:rPr>
              <w:t>市建设行政主管部门</w:t>
            </w:r>
          </w:p>
        </w:tc>
        <w:tc>
          <w:tcPr>
            <w:tcW w:type="dxa" w:w="2041"/>
          </w:tcPr>
          <w:p>
            <w:pPr>
              <w:spacing w:line="288" w:lineRule="auto"/>
            </w:pPr>
            <w:r/>
            <w:r>
              <w:rPr>
                <w:rFonts w:ascii="等线" w:hAnsi="等线" w:eastAsia="等线"/>
                <w:b w:val="0"/>
                <w:sz w:val="19"/>
              </w:rPr>
              <w:t>废止2013年260号令</w:t>
            </w:r>
          </w:p>
        </w:tc>
      </w:tr>
      <w:tr>
        <w:tc>
          <w:tcPr>
            <w:tcW w:type="dxa" w:w="1020"/>
          </w:tcPr>
          <w:p>
            <w:pPr>
              <w:spacing w:line="288" w:lineRule="auto"/>
            </w:pPr>
            <w:r/>
            <w:r>
              <w:rPr>
                <w:rFonts w:ascii="等线" w:hAnsi="等线" w:eastAsia="等线"/>
                <w:b w:val="0"/>
                <w:sz w:val="19"/>
              </w:rPr>
              <w:t>天津</w:t>
            </w:r>
          </w:p>
        </w:tc>
        <w:tc>
          <w:tcPr>
            <w:tcW w:type="dxa" w:w="3628"/>
          </w:tcPr>
          <w:p>
            <w:pPr>
              <w:spacing w:line="288" w:lineRule="auto"/>
            </w:pPr>
            <w:r/>
            <w:r>
              <w:rPr>
                <w:rFonts w:ascii="等线" w:hAnsi="等线" w:eastAsia="等线"/>
                <w:b w:val="0"/>
                <w:sz w:val="19"/>
              </w:rPr>
              <w:t>《天津市建筑垃圾资源化利用管理办法》及治理工作方案</w:t>
            </w:r>
          </w:p>
        </w:tc>
        <w:tc>
          <w:tcPr>
            <w:tcW w:type="dxa" w:w="1474"/>
          </w:tcPr>
          <w:p>
            <w:pPr>
              <w:spacing w:line="288" w:lineRule="auto"/>
            </w:pPr>
            <w:r/>
            <w:r>
              <w:rPr>
                <w:rFonts w:ascii="等线" w:hAnsi="等线" w:eastAsia="等线"/>
                <w:b w:val="0"/>
                <w:sz w:val="19"/>
              </w:rPr>
              <w:t>2016年10月1日</w:t>
            </w:r>
          </w:p>
        </w:tc>
        <w:tc>
          <w:tcPr>
            <w:tcW w:type="dxa" w:w="1928"/>
          </w:tcPr>
          <w:p>
            <w:pPr>
              <w:spacing w:line="288" w:lineRule="auto"/>
            </w:pPr>
            <w:r/>
            <w:r>
              <w:rPr>
                <w:rFonts w:ascii="等线" w:hAnsi="等线" w:eastAsia="等线"/>
                <w:b w:val="0"/>
                <w:sz w:val="19"/>
              </w:rPr>
              <w:t>市城市管理委员会（治理工作）</w:t>
            </w:r>
          </w:p>
        </w:tc>
        <w:tc>
          <w:tcPr>
            <w:tcW w:type="dxa" w:w="2041"/>
          </w:tcPr>
          <w:p>
            <w:pPr>
              <w:spacing w:line="288" w:lineRule="auto"/>
            </w:pPr>
            <w:r/>
            <w:r>
              <w:rPr>
                <w:rFonts w:ascii="等线" w:hAnsi="等线" w:eastAsia="等线"/>
                <w:b w:val="0"/>
                <w:sz w:val="19"/>
              </w:rPr>
              <w:t>2025年后按国家意见更新工作方案</w:t>
            </w:r>
          </w:p>
        </w:tc>
      </w:tr>
    </w:tbl>
    <w:p/>
    <w:p>
      <w:pPr>
        <w:spacing w:before="200" w:after="80"/>
      </w:pPr>
      <w:r>
        <w:rPr>
          <w:rFonts w:ascii="等线" w:hAnsi="等线" w:eastAsia="等线"/>
          <w:b/>
          <w:sz w:val="25"/>
        </w:rPr>
        <w:t>6.2 分类与流程差异</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361"/>
          </w:tcPr>
          <w:p>
            <w:r/>
            <w:r>
              <w:rPr>
                <w:rFonts w:ascii="等线" w:hAnsi="等线" w:eastAsia="等线"/>
                <w:b/>
                <w:sz w:val="20"/>
              </w:rPr>
              <w:t>对比项</w:t>
            </w:r>
          </w:p>
        </w:tc>
        <w:tc>
          <w:tcPr>
            <w:tcW w:type="dxa" w:w="2041"/>
          </w:tcPr>
          <w:p>
            <w:r/>
            <w:r>
              <w:rPr>
                <w:rFonts w:ascii="等线" w:hAnsi="等线" w:eastAsia="等线"/>
                <w:b/>
                <w:sz w:val="20"/>
              </w:rPr>
              <w:t>北京</w:t>
            </w:r>
          </w:p>
        </w:tc>
        <w:tc>
          <w:tcPr>
            <w:tcW w:type="dxa" w:w="2041"/>
          </w:tcPr>
          <w:p>
            <w:r/>
            <w:r>
              <w:rPr>
                <w:rFonts w:ascii="等线" w:hAnsi="等线" w:eastAsia="等线"/>
                <w:b/>
                <w:sz w:val="20"/>
              </w:rPr>
              <w:t>上海</w:t>
            </w:r>
          </w:p>
        </w:tc>
        <w:tc>
          <w:tcPr>
            <w:tcW w:type="dxa" w:w="2154"/>
          </w:tcPr>
          <w:p>
            <w:r/>
            <w:r>
              <w:rPr>
                <w:rFonts w:ascii="等线" w:hAnsi="等线" w:eastAsia="等线"/>
                <w:b/>
                <w:sz w:val="20"/>
              </w:rPr>
              <w:t>深圳</w:t>
            </w:r>
          </w:p>
        </w:tc>
        <w:tc>
          <w:tcPr>
            <w:tcW w:type="dxa" w:w="2154"/>
          </w:tcPr>
          <w:p>
            <w:r/>
            <w:r>
              <w:rPr>
                <w:rFonts w:ascii="等线" w:hAnsi="等线" w:eastAsia="等线"/>
                <w:b/>
                <w:sz w:val="20"/>
              </w:rPr>
              <w:t>天津</w:t>
            </w:r>
          </w:p>
        </w:tc>
      </w:tr>
      <w:tr>
        <w:tc>
          <w:tcPr>
            <w:tcW w:type="dxa" w:w="1361"/>
          </w:tcPr>
          <w:p>
            <w:pPr>
              <w:spacing w:line="288" w:lineRule="auto"/>
            </w:pPr>
            <w:r/>
            <w:r>
              <w:rPr>
                <w:rFonts w:ascii="等线" w:hAnsi="等线" w:eastAsia="等线"/>
                <w:b w:val="0"/>
                <w:sz w:val="19"/>
              </w:rPr>
              <w:t>分类粒度</w:t>
            </w:r>
          </w:p>
        </w:tc>
        <w:tc>
          <w:tcPr>
            <w:tcW w:type="dxa" w:w="2041"/>
          </w:tcPr>
          <w:p>
            <w:pPr>
              <w:spacing w:line="288" w:lineRule="auto"/>
            </w:pPr>
            <w:r/>
            <w:r>
              <w:rPr>
                <w:rFonts w:ascii="等线" w:hAnsi="等线" w:eastAsia="等线"/>
                <w:b w:val="0"/>
                <w:sz w:val="19"/>
              </w:rPr>
              <w:t>弃土、弃料及其他固体废物</w:t>
            </w:r>
          </w:p>
        </w:tc>
        <w:tc>
          <w:tcPr>
            <w:tcW w:type="dxa" w:w="2041"/>
          </w:tcPr>
          <w:p>
            <w:pPr>
              <w:spacing w:line="288" w:lineRule="auto"/>
            </w:pPr>
            <w:r/>
            <w:r>
              <w:rPr>
                <w:rFonts w:ascii="等线" w:hAnsi="等线" w:eastAsia="等线"/>
                <w:b w:val="0"/>
                <w:sz w:val="19"/>
              </w:rPr>
              <w:t>建设工程垃圾、装修垃圾两类</w:t>
            </w:r>
          </w:p>
        </w:tc>
        <w:tc>
          <w:tcPr>
            <w:tcW w:type="dxa" w:w="2154"/>
          </w:tcPr>
          <w:p>
            <w:pPr>
              <w:spacing w:line="288" w:lineRule="auto"/>
            </w:pPr>
            <w:r/>
            <w:r>
              <w:rPr>
                <w:rFonts w:ascii="等线" w:hAnsi="等线" w:eastAsia="等线"/>
                <w:b w:val="0"/>
                <w:sz w:val="19"/>
              </w:rPr>
              <w:t>五类，并逐类给出定义</w:t>
            </w:r>
          </w:p>
        </w:tc>
        <w:tc>
          <w:tcPr>
            <w:tcW w:type="dxa" w:w="2154"/>
          </w:tcPr>
          <w:p>
            <w:pPr>
              <w:spacing w:line="288" w:lineRule="auto"/>
            </w:pPr>
            <w:r/>
            <w:r>
              <w:rPr>
                <w:rFonts w:ascii="等线" w:hAnsi="等线" w:eastAsia="等线"/>
                <w:b w:val="0"/>
                <w:sz w:val="19"/>
              </w:rPr>
              <w:t>五类，与国家标准一致</w:t>
            </w:r>
          </w:p>
        </w:tc>
      </w:tr>
      <w:tr>
        <w:tc>
          <w:tcPr>
            <w:tcW w:type="dxa" w:w="1361"/>
          </w:tcPr>
          <w:p>
            <w:pPr>
              <w:spacing w:line="288" w:lineRule="auto"/>
            </w:pPr>
            <w:r/>
            <w:r>
              <w:rPr>
                <w:rFonts w:ascii="等线" w:hAnsi="等线" w:eastAsia="等线"/>
                <w:b w:val="0"/>
                <w:sz w:val="19"/>
              </w:rPr>
              <w:t>申报方式</w:t>
            </w:r>
          </w:p>
        </w:tc>
        <w:tc>
          <w:tcPr>
            <w:tcW w:type="dxa" w:w="2041"/>
          </w:tcPr>
          <w:p>
            <w:pPr>
              <w:spacing w:line="288" w:lineRule="auto"/>
            </w:pPr>
            <w:r/>
            <w:r>
              <w:rPr>
                <w:rFonts w:ascii="等线" w:hAnsi="等线" w:eastAsia="等线"/>
                <w:b w:val="0"/>
                <w:sz w:val="19"/>
              </w:rPr>
              <w:t>治理方案+消纳情况备案</w:t>
            </w:r>
          </w:p>
        </w:tc>
        <w:tc>
          <w:tcPr>
            <w:tcW w:type="dxa" w:w="2041"/>
          </w:tcPr>
          <w:p>
            <w:pPr>
              <w:spacing w:line="288" w:lineRule="auto"/>
            </w:pPr>
            <w:r/>
            <w:r>
              <w:rPr>
                <w:rFonts w:ascii="等线" w:hAnsi="等线" w:eastAsia="等线"/>
                <w:b w:val="0"/>
                <w:sz w:val="19"/>
              </w:rPr>
              <w:t>处置申报，核发处置证</w:t>
            </w:r>
          </w:p>
        </w:tc>
        <w:tc>
          <w:tcPr>
            <w:tcW w:type="dxa" w:w="2154"/>
          </w:tcPr>
          <w:p>
            <w:pPr>
              <w:spacing w:line="288" w:lineRule="auto"/>
            </w:pPr>
            <w:r/>
            <w:r>
              <w:rPr>
                <w:rFonts w:ascii="等线" w:hAnsi="等线" w:eastAsia="等线"/>
                <w:b w:val="0"/>
                <w:sz w:val="19"/>
              </w:rPr>
              <w:t>排放核准，15个工作日</w:t>
            </w:r>
          </w:p>
        </w:tc>
        <w:tc>
          <w:tcPr>
            <w:tcW w:type="dxa" w:w="2154"/>
          </w:tcPr>
          <w:p>
            <w:pPr>
              <w:spacing w:line="288" w:lineRule="auto"/>
            </w:pPr>
            <w:r/>
            <w:r>
              <w:rPr>
                <w:rFonts w:ascii="等线" w:hAnsi="等线" w:eastAsia="等线"/>
                <w:b w:val="0"/>
                <w:sz w:val="19"/>
              </w:rPr>
              <w:t>处理方案备案+产生核准+处置许可</w:t>
            </w:r>
          </w:p>
        </w:tc>
      </w:tr>
      <w:tr>
        <w:tc>
          <w:tcPr>
            <w:tcW w:type="dxa" w:w="1361"/>
          </w:tcPr>
          <w:p>
            <w:pPr>
              <w:spacing w:line="288" w:lineRule="auto"/>
            </w:pPr>
            <w:r/>
            <w:r>
              <w:rPr>
                <w:rFonts w:ascii="等线" w:hAnsi="等线" w:eastAsia="等线"/>
                <w:b w:val="0"/>
                <w:sz w:val="19"/>
              </w:rPr>
              <w:t>运输准入</w:t>
            </w:r>
          </w:p>
        </w:tc>
        <w:tc>
          <w:tcPr>
            <w:tcW w:type="dxa" w:w="2041"/>
          </w:tcPr>
          <w:p>
            <w:pPr>
              <w:spacing w:line="288" w:lineRule="auto"/>
            </w:pPr>
            <w:r/>
            <w:r>
              <w:rPr>
                <w:rFonts w:ascii="等线" w:hAnsi="等线" w:eastAsia="等线"/>
                <w:b w:val="0"/>
                <w:sz w:val="19"/>
              </w:rPr>
              <w:t>生活垃圾运输经营许可+建筑垃圾准运许可</w:t>
            </w:r>
          </w:p>
        </w:tc>
        <w:tc>
          <w:tcPr>
            <w:tcW w:type="dxa" w:w="2041"/>
          </w:tcPr>
          <w:p>
            <w:pPr>
              <w:spacing w:line="288" w:lineRule="auto"/>
            </w:pPr>
            <w:r/>
            <w:r>
              <w:rPr>
                <w:rFonts w:ascii="等线" w:hAnsi="等线" w:eastAsia="等线"/>
                <w:b w:val="0"/>
                <w:sz w:val="19"/>
              </w:rPr>
              <w:t>建设工程垃圾运输许可，车船统一标识</w:t>
            </w:r>
          </w:p>
        </w:tc>
        <w:tc>
          <w:tcPr>
            <w:tcW w:type="dxa" w:w="2154"/>
          </w:tcPr>
          <w:p>
            <w:pPr>
              <w:spacing w:line="288" w:lineRule="auto"/>
            </w:pPr>
            <w:r/>
            <w:r>
              <w:rPr>
                <w:rFonts w:ascii="等线" w:hAnsi="等线" w:eastAsia="等线"/>
                <w:b w:val="0"/>
                <w:sz w:val="19"/>
              </w:rPr>
              <w:t>运输单位及车辆备案</w:t>
            </w:r>
          </w:p>
        </w:tc>
        <w:tc>
          <w:tcPr>
            <w:tcW w:type="dxa" w:w="2154"/>
          </w:tcPr>
          <w:p>
            <w:pPr>
              <w:spacing w:line="288" w:lineRule="auto"/>
            </w:pPr>
            <w:r/>
            <w:r>
              <w:rPr>
                <w:rFonts w:ascii="等线" w:hAnsi="等线" w:eastAsia="等线"/>
                <w:b w:val="0"/>
                <w:sz w:val="19"/>
              </w:rPr>
              <w:t>车辆规范运营，IC卡与信息化管理</w:t>
            </w:r>
          </w:p>
        </w:tc>
      </w:tr>
      <w:tr>
        <w:tc>
          <w:tcPr>
            <w:tcW w:type="dxa" w:w="1361"/>
          </w:tcPr>
          <w:p>
            <w:pPr>
              <w:spacing w:line="288" w:lineRule="auto"/>
            </w:pPr>
            <w:r/>
            <w:r>
              <w:rPr>
                <w:rFonts w:ascii="等线" w:hAnsi="等线" w:eastAsia="等线"/>
                <w:b w:val="0"/>
                <w:sz w:val="19"/>
              </w:rPr>
              <w:t>全过程凭证</w:t>
            </w:r>
          </w:p>
        </w:tc>
        <w:tc>
          <w:tcPr>
            <w:tcW w:type="dxa" w:w="2041"/>
          </w:tcPr>
          <w:p>
            <w:pPr>
              <w:spacing w:line="288" w:lineRule="auto"/>
            </w:pPr>
            <w:r/>
            <w:r>
              <w:rPr>
                <w:rFonts w:ascii="等线" w:hAnsi="等线" w:eastAsia="等线"/>
                <w:b w:val="0"/>
                <w:sz w:val="19"/>
              </w:rPr>
              <w:t>电子运单，一车一单</w:t>
            </w:r>
          </w:p>
        </w:tc>
        <w:tc>
          <w:tcPr>
            <w:tcW w:type="dxa" w:w="2041"/>
          </w:tcPr>
          <w:p>
            <w:pPr>
              <w:spacing w:line="288" w:lineRule="auto"/>
            </w:pPr>
            <w:r/>
            <w:r>
              <w:rPr>
                <w:rFonts w:ascii="等线" w:hAnsi="等线" w:eastAsia="等线"/>
                <w:b w:val="0"/>
                <w:sz w:val="19"/>
              </w:rPr>
              <w:t>处置证副本+电子信息装置</w:t>
            </w:r>
          </w:p>
        </w:tc>
        <w:tc>
          <w:tcPr>
            <w:tcW w:type="dxa" w:w="2154"/>
          </w:tcPr>
          <w:p>
            <w:pPr>
              <w:spacing w:line="288" w:lineRule="auto"/>
            </w:pPr>
            <w:r/>
            <w:r>
              <w:rPr>
                <w:rFonts w:ascii="等线" w:hAnsi="等线" w:eastAsia="等线"/>
                <w:b w:val="0"/>
                <w:sz w:val="19"/>
              </w:rPr>
              <w:t>电子联单，一车一单</w:t>
            </w:r>
          </w:p>
        </w:tc>
        <w:tc>
          <w:tcPr>
            <w:tcW w:type="dxa" w:w="2154"/>
          </w:tcPr>
          <w:p>
            <w:pPr>
              <w:spacing w:line="288" w:lineRule="auto"/>
            </w:pPr>
            <w:r/>
            <w:r>
              <w:rPr>
                <w:rFonts w:ascii="等线" w:hAnsi="等线" w:eastAsia="等线"/>
                <w:b w:val="0"/>
                <w:sz w:val="19"/>
              </w:rPr>
              <w:t>按国家要求推行电子联单</w:t>
            </w:r>
          </w:p>
        </w:tc>
      </w:tr>
      <w:tr>
        <w:tc>
          <w:tcPr>
            <w:tcW w:type="dxa" w:w="1361"/>
          </w:tcPr>
          <w:p>
            <w:pPr>
              <w:spacing w:line="288" w:lineRule="auto"/>
            </w:pPr>
            <w:r/>
            <w:r>
              <w:rPr>
                <w:rFonts w:ascii="等线" w:hAnsi="等线" w:eastAsia="等线"/>
                <w:b w:val="0"/>
                <w:sz w:val="19"/>
              </w:rPr>
              <w:t>设施管理</w:t>
            </w:r>
          </w:p>
        </w:tc>
        <w:tc>
          <w:tcPr>
            <w:tcW w:type="dxa" w:w="2041"/>
          </w:tcPr>
          <w:p>
            <w:pPr>
              <w:spacing w:line="288" w:lineRule="auto"/>
            </w:pPr>
            <w:r/>
            <w:r>
              <w:rPr>
                <w:rFonts w:ascii="等线" w:hAnsi="等线" w:eastAsia="等线"/>
                <w:b w:val="0"/>
                <w:sz w:val="19"/>
              </w:rPr>
              <w:t>消纳场所设置许可，双向称重</w:t>
            </w:r>
          </w:p>
        </w:tc>
        <w:tc>
          <w:tcPr>
            <w:tcW w:type="dxa" w:w="2041"/>
          </w:tcPr>
          <w:p>
            <w:pPr>
              <w:spacing w:line="288" w:lineRule="auto"/>
            </w:pPr>
            <w:r/>
            <w:r>
              <w:rPr>
                <w:rFonts w:ascii="等线" w:hAnsi="等线" w:eastAsia="等线"/>
                <w:b w:val="0"/>
                <w:sz w:val="19"/>
              </w:rPr>
              <w:t>消纳、资源化、中转场所备案</w:t>
            </w:r>
          </w:p>
        </w:tc>
        <w:tc>
          <w:tcPr>
            <w:tcW w:type="dxa" w:w="2154"/>
          </w:tcPr>
          <w:p>
            <w:pPr>
              <w:spacing w:line="288" w:lineRule="auto"/>
            </w:pPr>
            <w:r/>
            <w:r>
              <w:rPr>
                <w:rFonts w:ascii="等线" w:hAnsi="等线" w:eastAsia="等线"/>
                <w:b w:val="0"/>
                <w:sz w:val="19"/>
              </w:rPr>
              <w:t>五类消纳场所，综合利用厂备案</w:t>
            </w:r>
          </w:p>
        </w:tc>
        <w:tc>
          <w:tcPr>
            <w:tcW w:type="dxa" w:w="2154"/>
          </w:tcPr>
          <w:p>
            <w:pPr>
              <w:spacing w:line="288" w:lineRule="auto"/>
            </w:pPr>
            <w:r/>
            <w:r>
              <w:rPr>
                <w:rFonts w:ascii="等线" w:hAnsi="等线" w:eastAsia="等线"/>
                <w:b w:val="0"/>
                <w:sz w:val="19"/>
              </w:rPr>
              <w:t>处置设施名录与执法监管</w:t>
            </w:r>
          </w:p>
        </w:tc>
      </w:tr>
      <w:tr>
        <w:tc>
          <w:tcPr>
            <w:tcW w:type="dxa" w:w="1361"/>
          </w:tcPr>
          <w:p>
            <w:pPr>
              <w:spacing w:line="288" w:lineRule="auto"/>
            </w:pPr>
            <w:r/>
            <w:r>
              <w:rPr>
                <w:rFonts w:ascii="等线" w:hAnsi="等线" w:eastAsia="等线"/>
                <w:b w:val="0"/>
                <w:sz w:val="19"/>
              </w:rPr>
              <w:t>装修垃圾</w:t>
            </w:r>
          </w:p>
        </w:tc>
        <w:tc>
          <w:tcPr>
            <w:tcW w:type="dxa" w:w="2041"/>
          </w:tcPr>
          <w:p>
            <w:pPr>
              <w:spacing w:line="288" w:lineRule="auto"/>
            </w:pPr>
            <w:r/>
            <w:r>
              <w:rPr>
                <w:rFonts w:ascii="等线" w:hAnsi="等线" w:eastAsia="等线"/>
                <w:b w:val="0"/>
                <w:sz w:val="19"/>
              </w:rPr>
              <w:t>责任人设点，5日内至少清运一次</w:t>
            </w:r>
          </w:p>
        </w:tc>
        <w:tc>
          <w:tcPr>
            <w:tcW w:type="dxa" w:w="2041"/>
          </w:tcPr>
          <w:p>
            <w:pPr>
              <w:spacing w:line="288" w:lineRule="auto"/>
            </w:pPr>
            <w:r/>
            <w:r>
              <w:rPr>
                <w:rFonts w:ascii="等线" w:hAnsi="等线" w:eastAsia="等线"/>
                <w:b w:val="0"/>
                <w:sz w:val="19"/>
              </w:rPr>
              <w:t>投放管理责任人+专门堆放场所+招投标</w:t>
            </w:r>
          </w:p>
        </w:tc>
        <w:tc>
          <w:tcPr>
            <w:tcW w:type="dxa" w:w="2154"/>
          </w:tcPr>
          <w:p>
            <w:pPr>
              <w:spacing w:line="288" w:lineRule="auto"/>
            </w:pPr>
            <w:r/>
            <w:r>
              <w:rPr>
                <w:rFonts w:ascii="等线" w:hAnsi="等线" w:eastAsia="等线"/>
                <w:b w:val="0"/>
                <w:sz w:val="19"/>
              </w:rPr>
              <w:t>业主或物业分类收集，无需排放核准</w:t>
            </w:r>
          </w:p>
        </w:tc>
        <w:tc>
          <w:tcPr>
            <w:tcW w:type="dxa" w:w="2154"/>
          </w:tcPr>
          <w:p>
            <w:pPr>
              <w:spacing w:line="288" w:lineRule="auto"/>
            </w:pPr>
            <w:r/>
            <w:r>
              <w:rPr>
                <w:rFonts w:ascii="等线" w:hAnsi="等线" w:eastAsia="等线"/>
                <w:b w:val="0"/>
                <w:sz w:val="19"/>
              </w:rPr>
              <w:t>责任人设暂存点，鼓励预约和箱体收集</w:t>
            </w:r>
          </w:p>
        </w:tc>
      </w:tr>
      <w:tr>
        <w:tc>
          <w:tcPr>
            <w:tcW w:type="dxa" w:w="1361"/>
          </w:tcPr>
          <w:p>
            <w:pPr>
              <w:spacing w:line="288" w:lineRule="auto"/>
            </w:pPr>
            <w:r/>
            <w:r>
              <w:rPr>
                <w:rFonts w:ascii="等线" w:hAnsi="等线" w:eastAsia="等线"/>
                <w:b w:val="0"/>
                <w:sz w:val="19"/>
              </w:rPr>
              <w:t>资源化推广</w:t>
            </w:r>
          </w:p>
        </w:tc>
        <w:tc>
          <w:tcPr>
            <w:tcW w:type="dxa" w:w="2041"/>
          </w:tcPr>
          <w:p>
            <w:pPr>
              <w:spacing w:line="288" w:lineRule="auto"/>
            </w:pPr>
            <w:r/>
            <w:r>
              <w:rPr>
                <w:rFonts w:ascii="等线" w:hAnsi="等线" w:eastAsia="等线"/>
                <w:b w:val="0"/>
                <w:sz w:val="19"/>
              </w:rPr>
              <w:t>政府及国有投资工程优先使用再生产品</w:t>
            </w:r>
          </w:p>
        </w:tc>
        <w:tc>
          <w:tcPr>
            <w:tcW w:type="dxa" w:w="2041"/>
          </w:tcPr>
          <w:p>
            <w:pPr>
              <w:spacing w:line="288" w:lineRule="auto"/>
            </w:pPr>
            <w:r/>
            <w:r>
              <w:rPr>
                <w:rFonts w:ascii="等线" w:hAnsi="等线" w:eastAsia="等线"/>
                <w:b w:val="0"/>
                <w:sz w:val="19"/>
              </w:rPr>
              <w:t>资源化产品强制使用制度</w:t>
            </w:r>
          </w:p>
        </w:tc>
        <w:tc>
          <w:tcPr>
            <w:tcW w:type="dxa" w:w="2154"/>
          </w:tcPr>
          <w:p>
            <w:pPr>
              <w:spacing w:line="288" w:lineRule="auto"/>
            </w:pPr>
            <w:r/>
            <w:r>
              <w:rPr>
                <w:rFonts w:ascii="等线" w:hAnsi="等线" w:eastAsia="等线"/>
                <w:b w:val="0"/>
                <w:sz w:val="19"/>
              </w:rPr>
              <w:t>产品认定制度+政府工程使用</w:t>
            </w:r>
          </w:p>
        </w:tc>
        <w:tc>
          <w:tcPr>
            <w:tcW w:type="dxa" w:w="2154"/>
          </w:tcPr>
          <w:p>
            <w:pPr>
              <w:spacing w:line="288" w:lineRule="auto"/>
            </w:pPr>
            <w:r/>
            <w:r>
              <w:rPr>
                <w:rFonts w:ascii="等线" w:hAnsi="等线" w:eastAsia="等线"/>
                <w:b w:val="0"/>
                <w:sz w:val="19"/>
              </w:rPr>
              <w:t>用地、税收、补贴扶持</w:t>
            </w:r>
          </w:p>
        </w:tc>
      </w:tr>
    </w:tbl>
    <w:p/>
    <w:p>
      <w:pPr>
        <w:spacing w:before="200" w:after="80"/>
      </w:pPr>
      <w:r>
        <w:rPr>
          <w:rFonts w:ascii="等线" w:hAnsi="等线" w:eastAsia="等线"/>
          <w:b/>
          <w:sz w:val="25"/>
        </w:rPr>
        <w:t>6.3 共同趋势</w:t>
      </w:r>
    </w:p>
    <w:p>
      <w:pPr>
        <w:pStyle w:val="ListBullet"/>
        <w:spacing w:after="60" w:line="312" w:lineRule="auto"/>
      </w:pPr>
      <w:r>
        <w:rPr>
          <w:rFonts w:ascii="等线" w:hAnsi="等线" w:eastAsia="等线"/>
          <w:b w:val="0"/>
          <w:sz w:val="22"/>
        </w:rPr>
        <w:t>分类收敛：各地名称不同，但都在向国家五类口径对齐，尤其是把工程泥浆和装修垃圾单列。</w:t>
      </w:r>
    </w:p>
    <w:p>
      <w:pPr>
        <w:pStyle w:val="ListBullet"/>
        <w:spacing w:after="60" w:line="312" w:lineRule="auto"/>
      </w:pPr>
      <w:r>
        <w:rPr>
          <w:rFonts w:ascii="等线" w:hAnsi="等线" w:eastAsia="等线"/>
          <w:b w:val="0"/>
          <w:sz w:val="22"/>
        </w:rPr>
        <w:t>凭证闭环：从纸质联单向电子运单、电子联单升级，做到来源可查、去向可追、责任可究。</w:t>
      </w:r>
    </w:p>
    <w:p>
      <w:pPr>
        <w:pStyle w:val="ListBullet"/>
        <w:spacing w:after="60" w:line="312" w:lineRule="auto"/>
      </w:pPr>
      <w:r>
        <w:rPr>
          <w:rFonts w:ascii="等线" w:hAnsi="等线" w:eastAsia="等线"/>
          <w:b w:val="0"/>
          <w:sz w:val="22"/>
        </w:rPr>
        <w:t>前置申报：把处理方案备案和排放核准放到开工或外运之前，避免先排放后补手续。</w:t>
      </w:r>
    </w:p>
    <w:p>
      <w:pPr>
        <w:pStyle w:val="ListBullet"/>
        <w:spacing w:after="60" w:line="312" w:lineRule="auto"/>
      </w:pPr>
      <w:r>
        <w:rPr>
          <w:rFonts w:ascii="等线" w:hAnsi="等线" w:eastAsia="等线"/>
          <w:b w:val="0"/>
          <w:sz w:val="22"/>
        </w:rPr>
        <w:t>资源化刚需：政府投资工程带头使用再生产品，上海和深圳已进入强制或目录认定阶段。</w:t>
      </w:r>
    </w:p>
    <w:p>
      <w:pPr>
        <w:pStyle w:val="ListBullet"/>
        <w:spacing w:after="60" w:line="312" w:lineRule="auto"/>
      </w:pPr>
      <w:r>
        <w:rPr>
          <w:rFonts w:ascii="等线" w:hAnsi="等线" w:eastAsia="等线"/>
          <w:b w:val="0"/>
          <w:sz w:val="22"/>
        </w:rPr>
        <w:t>装修垃圾属地化：把家装垃圾的管理责任压给物业服务单位或属地责任人，设置专门暂存点。</w:t>
      </w:r>
    </w:p>
    <w:p>
      <w:pPr>
        <w:spacing w:before="320" w:after="120"/>
      </w:pPr>
      <w:r>
        <w:rPr>
          <w:rFonts w:ascii="等线" w:hAnsi="等线" w:eastAsia="等线"/>
          <w:b/>
          <w:sz w:val="30"/>
        </w:rPr>
        <w:t>七、创新大赛可切入的痛点与建议方向</w:t>
      </w:r>
    </w:p>
    <w:p>
      <w:pPr>
        <w:pStyle w:val="ListBullet"/>
        <w:spacing w:after="60" w:line="312" w:lineRule="auto"/>
      </w:pPr>
      <w:r>
        <w:rPr>
          <w:rFonts w:ascii="等线" w:hAnsi="等线" w:eastAsia="等线"/>
          <w:b w:val="0"/>
          <w:sz w:val="22"/>
        </w:rPr>
        <w:t>智能识别与自动分拣：装修垃圾成分复杂，现有分拣依赖人工。可切入图像识别加机械分选，重点解决石膏板、木材、塑料与惰性物料的分离。</w:t>
      </w:r>
    </w:p>
    <w:p>
      <w:pPr>
        <w:pStyle w:val="ListBullet"/>
        <w:spacing w:after="60" w:line="312" w:lineRule="auto"/>
      </w:pPr>
      <w:r>
        <w:rPr>
          <w:rFonts w:ascii="等线" w:hAnsi="等线" w:eastAsia="等线"/>
          <w:b w:val="0"/>
          <w:sz w:val="22"/>
        </w:rPr>
        <w:t>电子联单数据互通：四城平台互不联通，跨区域转移时凭证衔接困难。可切入跨平台联单互认和异常预警。</w:t>
      </w:r>
    </w:p>
    <w:p>
      <w:pPr>
        <w:pStyle w:val="ListBullet"/>
        <w:spacing w:after="60" w:line="312" w:lineRule="auto"/>
      </w:pPr>
      <w:r>
        <w:rPr>
          <w:rFonts w:ascii="等线" w:hAnsi="等线" w:eastAsia="等线"/>
          <w:b w:val="0"/>
          <w:sz w:val="22"/>
        </w:rPr>
        <w:t>泥浆减量与现场干化：工程泥浆含水率高、运输成本大，深圳还限制含水率高于40%的渣土进场。可切入移动式浆水分离和脱水干化装备。</w:t>
      </w:r>
    </w:p>
    <w:p>
      <w:pPr>
        <w:pStyle w:val="ListBullet"/>
        <w:spacing w:after="60" w:line="312" w:lineRule="auto"/>
      </w:pPr>
      <w:r>
        <w:rPr>
          <w:rFonts w:ascii="等线" w:hAnsi="等线" w:eastAsia="等线"/>
          <w:b w:val="0"/>
          <w:sz w:val="22"/>
        </w:rPr>
        <w:t>再生产品溯源与质量背书：资源化产品使用受制于质量信任。可切入再生骨料和再生建材的质量追溯与检测报告数字化。</w:t>
      </w:r>
    </w:p>
    <w:p>
      <w:pPr>
        <w:pStyle w:val="ListBullet"/>
        <w:spacing w:after="60" w:line="312" w:lineRule="auto"/>
      </w:pPr>
      <w:r>
        <w:rPr>
          <w:rFonts w:ascii="等线" w:hAnsi="等线" w:eastAsia="等线"/>
          <w:b w:val="0"/>
          <w:sz w:val="22"/>
        </w:rPr>
        <w:t>装修垃圾预约回收：天津鼓励预约和箱体收集，上海由物业责任人管理。可切入线上下单、箱体调度和按量计费的社区服务。</w:t>
      </w:r>
    </w:p>
    <w:p>
      <w:pPr>
        <w:pStyle w:val="ListBullet"/>
        <w:spacing w:after="60" w:line="312" w:lineRule="auto"/>
      </w:pPr>
      <w:r>
        <w:rPr>
          <w:rFonts w:ascii="等线" w:hAnsi="等线" w:eastAsia="等线"/>
          <w:b w:val="0"/>
          <w:sz w:val="22"/>
        </w:rPr>
        <w:t>产消匹配调度：北京建立跨区异地处置调剂补偿机制，国家要求共享渣土排放与用土需求。可切入弃土供需匹配和运距优化调度。</w:t>
      </w:r>
    </w:p>
    <w:p>
      <w:pPr>
        <w:spacing w:before="320" w:after="120"/>
      </w:pPr>
      <w:r>
        <w:rPr>
          <w:rFonts w:ascii="等线" w:hAnsi="等线" w:eastAsia="等线"/>
          <w:b/>
          <w:sz w:val="30"/>
        </w:rPr>
        <w:t>八、主要资料来源</w:t>
      </w:r>
    </w:p>
    <w:p>
      <w:pPr>
        <w:pStyle w:val="ListBullet"/>
        <w:spacing w:after="60" w:line="312" w:lineRule="auto"/>
      </w:pPr>
      <w:r>
        <w:rPr>
          <w:rFonts w:ascii="等线" w:hAnsi="等线" w:eastAsia="等线"/>
          <w:b w:val="0"/>
          <w:sz w:val="22"/>
        </w:rPr>
        <w:t>国务院办公厅转发住房城乡建设部《关于进一步加强城市建筑垃圾治理的意见》的通知，国办函〔2025〕57号，中国政府网，2025年6月9日发布。</w:t>
      </w:r>
    </w:p>
    <w:p>
      <w:pPr>
        <w:pStyle w:val="ListBullet"/>
        <w:spacing w:after="60" w:line="312" w:lineRule="auto"/>
      </w:pPr>
      <w:r>
        <w:rPr>
          <w:rFonts w:ascii="等线" w:hAnsi="等线" w:eastAsia="等线"/>
          <w:b w:val="0"/>
          <w:sz w:val="22"/>
        </w:rPr>
        <w:t>《建筑垃圾污染控制技术规范》，HJ 1462—2026，生态环境部，2026年3月1日实施。</w:t>
      </w:r>
    </w:p>
    <w:p>
      <w:pPr>
        <w:pStyle w:val="ListBullet"/>
        <w:spacing w:after="60" w:line="312" w:lineRule="auto"/>
      </w:pPr>
      <w:r>
        <w:rPr>
          <w:rFonts w:ascii="等线" w:hAnsi="等线" w:eastAsia="等线"/>
          <w:b w:val="0"/>
          <w:sz w:val="22"/>
        </w:rPr>
        <w:t>《建筑垃圾处理技术标准》，CJJ/T 134—2019。</w:t>
      </w:r>
    </w:p>
    <w:p>
      <w:pPr>
        <w:pStyle w:val="ListBullet"/>
        <w:spacing w:after="60" w:line="312" w:lineRule="auto"/>
      </w:pPr>
      <w:r>
        <w:rPr>
          <w:rFonts w:ascii="等线" w:hAnsi="等线" w:eastAsia="等线"/>
          <w:b w:val="0"/>
          <w:sz w:val="22"/>
        </w:rPr>
        <w:t>《北京市建筑垃圾处置管理规定》，北京市人民政府令第293号，首都之窗；2025年北京市人民政府令第315号修改。</w:t>
      </w:r>
    </w:p>
    <w:p>
      <w:pPr>
        <w:pStyle w:val="ListBullet"/>
        <w:spacing w:after="60" w:line="312" w:lineRule="auto"/>
      </w:pPr>
      <w:r>
        <w:rPr>
          <w:rFonts w:ascii="等线" w:hAnsi="等线" w:eastAsia="等线"/>
          <w:b w:val="0"/>
          <w:sz w:val="22"/>
        </w:rPr>
        <w:t>《上海市建筑垃圾处理管理规定》，上海市人民政府令第57号，上海市人民政府规章库；2025年上海市人民政府令第16号修正并重新公布。</w:t>
      </w:r>
    </w:p>
    <w:p>
      <w:pPr>
        <w:pStyle w:val="ListBullet"/>
        <w:spacing w:after="60" w:line="312" w:lineRule="auto"/>
      </w:pPr>
      <w:r>
        <w:rPr>
          <w:rFonts w:ascii="等线" w:hAnsi="等线" w:eastAsia="等线"/>
          <w:b w:val="0"/>
          <w:sz w:val="22"/>
        </w:rPr>
        <w:t>《深圳市建筑废弃物管理办法》，中华人民共和国司法部地方政府规章库，2020年6月24日发布，2020年7月1日施行。</w:t>
      </w:r>
    </w:p>
    <w:p>
      <w:pPr>
        <w:pStyle w:val="ListBullet"/>
        <w:spacing w:after="60" w:line="312" w:lineRule="auto"/>
      </w:pPr>
      <w:r>
        <w:rPr>
          <w:rFonts w:ascii="等线" w:hAnsi="等线" w:eastAsia="等线"/>
          <w:b w:val="0"/>
          <w:sz w:val="22"/>
        </w:rPr>
        <w:t>《天津市建筑垃圾资源化利用管理办法》，天津北方网2016年8月8日报道背景资料。</w:t>
      </w:r>
    </w:p>
    <w:p>
      <w:pPr>
        <w:pStyle w:val="ListBullet"/>
        <w:spacing w:after="60" w:line="312" w:lineRule="auto"/>
      </w:pPr>
      <w:r>
        <w:rPr>
          <w:rFonts w:ascii="等线" w:hAnsi="等线" w:eastAsia="等线"/>
          <w:b w:val="0"/>
          <w:sz w:val="22"/>
        </w:rPr>
        <w:t>《北辰区全面加强建筑垃圾治理工作方案》，天津市北辰区人民政府，北辰政办发〔2026〕7号，2026年8月31日。</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