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等线" w:hAnsi="等线" w:eastAsia="等线"/>
          <w:b/>
          <w:color w:val="44546A"/>
          <w:sz w:val="40"/>
        </w:rPr>
        <w:t>建筑垃圾运输优化算法方案</w:t>
      </w:r>
    </w:p>
    <w:p>
      <w:pPr>
        <w:spacing w:after="80"/>
        <w:jc w:val="center"/>
      </w:pPr>
      <w:r>
        <w:rPr>
          <w:rFonts w:ascii="等线" w:hAnsi="等线" w:eastAsia="等线"/>
          <w:b w:val="0"/>
          <w:color w:val="4472C4"/>
          <w:sz w:val="24"/>
        </w:rPr>
        <w:t>源头识别、接收匹配与车辆协同调度</w:t>
      </w:r>
    </w:p>
    <w:p>
      <w:pPr>
        <w:spacing w:after="360"/>
        <w:jc w:val="center"/>
      </w:pPr>
      <w:r>
        <w:rPr>
          <w:rFonts w:ascii="等线" w:hAnsi="等线" w:eastAsia="等线"/>
          <w:b w:val="0"/>
          <w:sz w:val="21"/>
        </w:rPr>
        <w:t>2026年10月19日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本方案面向建筑垃圾从产生到进场的运输环节, 思路与《建筑垃圾运输优化平台》一致: 先在源头把材料和接收条件确认清楚, 再联合决定去向、车辆与时间, 而不是等到车开到门口才发现收不了。算法把这条思路落成可执行的优化模型, 并用一组算例验证。</w:t>
      </w:r>
    </w:p>
    <w:p>
      <w:pPr>
        <w:spacing w:before="320" w:after="140"/>
      </w:pPr>
      <w:r>
        <w:rPr>
          <w:rFonts w:ascii="等线" w:hAnsi="等线" w:eastAsia="等线"/>
          <w:b/>
          <w:color w:val="4472C4"/>
          <w:sz w:val="30"/>
        </w:rPr>
        <w:t>一、五类建筑垃圾与去向约束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建筑垃圾按产生源分五类。分类不只是台账口径, 它直接决定运输目的地, 因此算法把分类当作第一层约束。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类别</w:t>
            </w:r>
          </w:p>
        </w:tc>
        <w:tc>
          <w:tcPr>
            <w:tcW w:type="dxa" w:w="306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典型来源</w:t>
            </w:r>
          </w:p>
        </w:tc>
        <w:tc>
          <w:tcPr>
            <w:tcW w:type="dxa" w:w="4309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去向约束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工程渣土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基础开挖产生的弃土、砂石</w:t>
            </w:r>
          </w:p>
        </w:tc>
        <w:tc>
          <w:tcPr>
            <w:tcW w:type="dxa" w:w="4309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土方平衡点或消纳场, 不进中转场与资源化厂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工程泥浆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桩基、盾构等施工产生的泥浆</w:t>
            </w:r>
          </w:p>
        </w:tc>
        <w:tc>
          <w:tcPr>
            <w:tcW w:type="dxa" w:w="4309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强制先进预处理站, 不得直送消纳场或资源化厂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工程垃圾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建设施工过程中产生的弃料</w:t>
            </w:r>
          </w:p>
        </w:tc>
        <w:tc>
          <w:tcPr>
            <w:tcW w:type="dxa" w:w="4309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按材质进资源化厂、金属回收或消纳场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拆除垃圾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拆除建筑物、构筑物产生的弃料</w:t>
            </w:r>
          </w:p>
        </w:tc>
        <w:tc>
          <w:tcPr>
            <w:tcW w:type="dxa" w:w="4309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按材质进资源化厂、金属回收或消纳场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装修垃圾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装饰装修过程中产生的废弃物</w:t>
            </w:r>
          </w:p>
        </w:tc>
        <w:tc>
          <w:tcPr>
            <w:tcW w:type="dxa" w:w="4309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木材与塑料进分拣中转场, 惰性物进资源化厂或消纳场</w:t>
            </w:r>
          </w:p>
        </w:tc>
      </w:tr>
    </w:tbl>
    <w:p/>
    <w:p>
      <w:pPr>
        <w:spacing w:before="320" w:after="140"/>
      </w:pPr>
      <w:r>
        <w:rPr>
          <w:rFonts w:ascii="等线" w:hAnsi="等线" w:eastAsia="等线"/>
          <w:b/>
          <w:color w:val="ED7D31"/>
          <w:sz w:val="30"/>
        </w:rPr>
        <w:t>二、要解决的三类浪费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运输环节的浪费集中在三处, 三者互相牵连, 需要放在同一个模型里处理。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问题</w:t>
            </w:r>
          </w:p>
        </w:tc>
        <w:tc>
          <w:tcPr>
            <w:tcW w:type="dxa" w:w="3742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表现</w:t>
            </w:r>
          </w:p>
        </w:tc>
        <w:tc>
          <w:tcPr>
            <w:tcW w:type="dxa" w:w="3402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算法中的对应量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空驶与绕行</w:t>
            </w:r>
          </w:p>
        </w:tc>
        <w:tc>
          <w:tcPr>
            <w:tcW w:type="dxa" w:w="374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卸货后无接续任务, 车辆空返; 多点分别直送导致里程叠加</w:t>
            </w:r>
          </w:p>
        </w:tc>
        <w:tc>
          <w:tcPr>
            <w:tcW w:type="dxa" w:w="340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总里程、趟次, 计入行驶成本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等待与积压</w:t>
            </w:r>
          </w:p>
        </w:tc>
        <w:tc>
          <w:tcPr>
            <w:tcW w:type="dxa" w:w="374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出料节奏、过磅排队与场站营业时段不匹配</w:t>
            </w:r>
          </w:p>
        </w:tc>
        <w:tc>
          <w:tcPr>
            <w:tcW w:type="dxa" w:w="340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各点等待小时数, 计入等待成本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拒收与返运</w:t>
            </w:r>
          </w:p>
        </w:tc>
        <w:tc>
          <w:tcPr>
            <w:tcW w:type="dxa" w:w="374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材质或接收条件到场后才确认, 只能原车返回</w:t>
            </w:r>
          </w:p>
        </w:tc>
        <w:tc>
          <w:tcPr>
            <w:tcW w:type="dxa" w:w="340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材质与类别的可行性过滤, 不可行组合不派车</w:t>
            </w:r>
          </w:p>
        </w:tc>
      </w:tr>
    </w:tbl>
    <w:p/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第三类最值得优先处理。空驶和等待是效率损失, 拒收则是完全无效的运输, 还连带影响后续排班。把可行性判断从事后验收前移到派车之前, 是这套算法最直接的收益来源。</w:t>
      </w:r>
    </w:p>
    <w:p>
      <w:pPr>
        <w:spacing w:before="320" w:after="140"/>
      </w:pPr>
      <w:r>
        <w:rPr>
          <w:rFonts w:ascii="等线" w:hAnsi="等线" w:eastAsia="等线"/>
          <w:b/>
          <w:color w:val="547B3C"/>
          <w:sz w:val="30"/>
        </w:rPr>
        <w:t>三、算法总体结构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算法分四步, 前三步确定"能去哪", 第四步确定"怎么去"。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步骤</w:t>
            </w:r>
          </w:p>
        </w:tc>
        <w:tc>
          <w:tcPr>
            <w:tcW w:type="dxa" w:w="2608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做什么</w:t>
            </w:r>
          </w:p>
        </w:tc>
        <w:tc>
          <w:tcPr>
            <w:tcW w:type="dxa" w:w="2494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输入</w:t>
            </w:r>
          </w:p>
        </w:tc>
        <w:tc>
          <w:tcPr>
            <w:tcW w:type="dxa" w:w="2494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输出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1 源头识别</w:t>
            </w:r>
          </w:p>
        </w:tc>
        <w:tc>
          <w:tcPr>
            <w:tcW w:type="dxa" w:w="260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识别材质标签并给出置信度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试点拍摄的料堆或车厢图像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材质类别、置信度、疑似混杂提示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2 接收匹配</w:t>
            </w:r>
          </w:p>
        </w:tc>
        <w:tc>
          <w:tcPr>
            <w:tcW w:type="dxa" w:w="260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按材质与类别过滤可行去向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材质标签、设施接收目录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该笔订单的候选设施集合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3 视觉分诊</w:t>
            </w:r>
          </w:p>
        </w:tc>
        <w:tc>
          <w:tcPr>
            <w:tcW w:type="dxa" w:w="260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低置信度或异常订单转人工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置信度阈值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自动调度队列、人工复核队列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4 联合调度</w:t>
            </w:r>
          </w:p>
        </w:tc>
        <w:tc>
          <w:tcPr>
            <w:tcW w:type="dxa" w:w="260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选车辆、选去向、排顺序、定时刻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订单、设施、车辆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车次方案与预计到场时间</w:t>
            </w:r>
          </w:p>
        </w:tc>
      </w:tr>
    </w:tbl>
    <w:p/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这样安排的原因是: 去向可行性是硬约束, 一旦候选集确定, 后续调度只在可行解空间内搜索, 不会产生"排好班才发现收不了"的返工。</w:t>
      </w:r>
    </w:p>
    <w:p>
      <w:pPr>
        <w:spacing w:before="320" w:after="140"/>
      </w:pPr>
      <w:r>
        <w:rPr>
          <w:rFonts w:ascii="等线" w:hAnsi="等线" w:eastAsia="等线"/>
          <w:b/>
          <w:color w:val="ED7D31"/>
          <w:sz w:val="30"/>
        </w:rPr>
        <w:t>四、优化模型</w:t>
      </w:r>
    </w:p>
    <w:p>
      <w:pPr>
        <w:spacing w:before="200" w:after="80"/>
      </w:pPr>
      <w:r>
        <w:rPr>
          <w:rFonts w:ascii="等线" w:hAnsi="等线" w:eastAsia="等线"/>
          <w:b/>
          <w:color w:val="44546A"/>
          <w:sz w:val="25"/>
        </w:rPr>
        <w:t>4.1 目标函数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以完成全部订单的综合成本最小为目标, 四项相加: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成本项</w:t>
            </w:r>
          </w:p>
        </w:tc>
        <w:tc>
          <w:tcPr>
            <w:tcW w:type="dxa" w:w="4082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计算式</w:t>
            </w:r>
          </w:p>
        </w:tc>
        <w:tc>
          <w:tcPr>
            <w:tcW w:type="dxa" w:w="306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行驶成本</w:t>
            </w:r>
          </w:p>
        </w:tc>
        <w:tc>
          <w:tcPr>
            <w:tcW w:type="dxa" w:w="408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出车固定成本 x 趟次 + 里程单价 x 总里程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抑制空驶与绕行, 同时反映趟次的价值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等待成本</w:t>
            </w:r>
          </w:p>
        </w:tc>
        <w:tc>
          <w:tcPr>
            <w:tcW w:type="dxa" w:w="408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车辆等待费率 x 等待小时数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抑制过早到场与排队积压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处置费用</w:t>
            </w:r>
          </w:p>
        </w:tc>
        <w:tc>
          <w:tcPr>
            <w:tcW w:type="dxa" w:w="408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各设施单位处置费 x 接收吨位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反映不同去向的成本差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违约惩罚</w:t>
            </w:r>
          </w:p>
        </w:tc>
        <w:tc>
          <w:tcPr>
            <w:tcW w:type="dxa" w:w="4082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超期小时数 x 惩罚费率</w:t>
            </w:r>
          </w:p>
        </w:tc>
        <w:tc>
          <w:tcPr>
            <w:tcW w:type="dxa" w:w="306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保证交付期限不被集运牺牲</w:t>
            </w:r>
          </w:p>
        </w:tc>
      </w:tr>
    </w:tbl>
    <w:p/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行驶成本特意写成"固定成本 + 里程单价"两项。只按里程计价会低估集运的价值: 合并两趟为一趟, 省的不只是里程, 还有一次完整的出车。</w:t>
      </w:r>
    </w:p>
    <w:p>
      <w:pPr>
        <w:spacing w:before="200" w:after="80"/>
      </w:pPr>
      <w:r>
        <w:rPr>
          <w:rFonts w:ascii="等线" w:hAnsi="等线" w:eastAsia="等线"/>
          <w:b/>
          <w:color w:val="44546A"/>
          <w:sz w:val="25"/>
        </w:rPr>
        <w:t>4.2 约束条件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载重与容积: 每车次装载不超过车辆额定吨位与车厢容积。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接收匹配: 材质必须落在设施接收目录内, 且订单类别必须允许该类设施。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工艺前置: 工程泥浆必须先进入预处理站, 不得直送消纳场或资源化厂。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材质兼容: 泥浆与金属须单独运输, 其余惰性物与轻质物可混装后由场站分选。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时间窗: 产生点有出料时段与交付期限, 场站有营业时段, 装卸各占服务时间。</w:t>
      </w:r>
    </w:p>
    <w:p>
      <w:pPr>
        <w:spacing w:before="200" w:after="80"/>
      </w:pPr>
      <w:r>
        <w:rPr>
          <w:rFonts w:ascii="等线" w:hAnsi="等线" w:eastAsia="等线"/>
          <w:b/>
          <w:color w:val="44546A"/>
          <w:sz w:val="25"/>
        </w:rPr>
        <w:t>4.3 集运的判据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相邻产生点能否合并, 不靠经验判断, 而用一个可计算条件:</w:t>
      </w:r>
    </w:p>
    <w:p>
      <w:pPr>
        <w:spacing w:after="120" w:line="324" w:lineRule="auto"/>
      </w:pPr>
      <w:r>
        <w:rPr>
          <w:rFonts w:ascii="等线" w:hAnsi="等线" w:eastAsia="等线"/>
          <w:b w:val="0"/>
          <w:sz w:val="22"/>
        </w:rPr>
        <w:t>合并当且仅当: 分开两趟的成本 - 合并一趟的成本 - 新增装卸操作成本 &gt; 0。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按节约值从大到小反复合并, 直到没有正的节约为止。这样既不会为了合并而合并, 也不会漏掉真正划算的组合。</w:t>
      </w:r>
    </w:p>
    <w:p>
      <w:pPr>
        <w:spacing w:before="320" w:after="140"/>
      </w:pPr>
      <w:r>
        <w:rPr>
          <w:rFonts w:ascii="等线" w:hAnsi="等线" w:eastAsia="等线"/>
          <w:b/>
          <w:color w:val="547B3C"/>
          <w:sz w:val="30"/>
        </w:rPr>
        <w:t>五、算例验证</w:t>
      </w:r>
    </w:p>
    <w:p>
      <w:pPr>
        <w:spacing w:before="200" w:after="80"/>
      </w:pPr>
      <w:r>
        <w:rPr>
          <w:rFonts w:ascii="等线" w:hAnsi="等线" w:eastAsia="等线"/>
          <w:b/>
          <w:color w:val="44546A"/>
          <w:sz w:val="25"/>
        </w:rPr>
        <w:t>5.1 单簇案例: 集运与直送的取舍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先用一个最小场景把机制讲清楚。三个相邻产生点各 4 吨同类来料, 一台 12 吨车, 处理后回到处理厂兼发车点。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比较项</w:t>
            </w:r>
          </w:p>
        </w:tc>
        <w:tc>
          <w:tcPr>
            <w:tcW w:type="dxa" w:w="2835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分别直送</w:t>
            </w:r>
          </w:p>
        </w:tc>
        <w:tc>
          <w:tcPr>
            <w:tcW w:type="dxa" w:w="2835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多点集运</w:t>
            </w:r>
          </w:p>
        </w:tc>
      </w:tr>
      <w:tr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路线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D-A-D、D-B-D、D-C-D, 共 3 趟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D-A-B-C-D, 共 1 趟</w:t>
            </w:r>
          </w:p>
        </w:tc>
      </w:tr>
      <w:tr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总里程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120 km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50 km</w:t>
            </w:r>
          </w:p>
        </w:tc>
      </w:tr>
      <w:tr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运输成本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900 元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350 元</w:t>
            </w:r>
          </w:p>
        </w:tc>
      </w:tr>
      <w:tr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首批到厂时刻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08:50</w:t>
            </w:r>
          </w:p>
        </w:tc>
        <w:tc>
          <w:tcPr>
            <w:tcW w:type="dxa" w:w="2835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09:30</w:t>
            </w:r>
          </w:p>
        </w:tc>
      </w:tr>
    </w:tbl>
    <w:p/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集运把里程从 120 km 压到 50 km, 运输成本从 900 元降到 350 元, 代价是首批到厂晚 40 分钟。这个取舍是否值得, 取决于交付期限: 只要 40 分钟的延迟不触发违约, 就应当合并。算法把两者都折算成金额后自动比较, 不需要人工拍板。</w:t>
      </w:r>
    </w:p>
    <w:p>
      <w:pPr>
        <w:spacing w:before="200" w:after="80"/>
      </w:pPr>
      <w:r>
        <w:rPr>
          <w:rFonts w:ascii="等线" w:hAnsi="等线" w:eastAsia="等线"/>
          <w:b/>
          <w:color w:val="44546A"/>
          <w:sz w:val="25"/>
        </w:rPr>
        <w:t>5.2 扩展场景: 五类齐全的综合效果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把场景放大到五类齐全: 14 个产生点、6 个处理设施(土方平衡点、泥浆预处理站、资源化厂、金属回收、消纳场、分拣中转场)、4 台不同吨位车辆, 订单量级 3 至 6 吨, 使 12 吨车可承载 2 至 3 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指标</w:t>
            </w:r>
          </w:p>
        </w:tc>
        <w:tc>
          <w:tcPr>
            <w:tcW w:type="dxa" w:w="204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每单直送</w:t>
            </w:r>
          </w:p>
        </w:tc>
        <w:tc>
          <w:tcPr>
            <w:tcW w:type="dxa" w:w="2041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多点集运</w:t>
            </w:r>
          </w:p>
        </w:tc>
        <w:tc>
          <w:tcPr>
            <w:tcW w:type="dxa" w:w="2494"/>
          </w:tcPr>
          <w:p>
            <w:r/>
            <w:r>
              <w:rPr>
                <w:rFonts w:ascii="等线" w:hAnsi="等线" w:eastAsia="等线"/>
                <w:b/>
                <w:sz w:val="20"/>
              </w:rPr>
              <w:t>变化</w:t>
            </w:r>
          </w:p>
        </w:tc>
      </w:tr>
      <w:tr>
        <w:tc>
          <w:tcPr>
            <w:tcW w:type="dxa" w:w="226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综合成本(元)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3152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2678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-15.04%</w:t>
            </w:r>
          </w:p>
        </w:tc>
      </w:tr>
      <w:tr>
        <w:tc>
          <w:tcPr>
            <w:tcW w:type="dxa" w:w="226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总里程(km)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225.1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206.2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-8.39%</w:t>
            </w:r>
          </w:p>
        </w:tc>
      </w:tr>
      <w:tr>
        <w:tc>
          <w:tcPr>
            <w:tcW w:type="dxa" w:w="226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趟次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11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8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减少 3 趟</w:t>
            </w:r>
          </w:p>
        </w:tc>
      </w:tr>
      <w:tr>
        <w:tc>
          <w:tcPr>
            <w:tcW w:type="dxa" w:w="226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行驶成本(元)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2226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1831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-17.7%</w:t>
            </w:r>
          </w:p>
        </w:tc>
      </w:tr>
      <w:tr>
        <w:tc>
          <w:tcPr>
            <w:tcW w:type="dxa" w:w="226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等待成本(元)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0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8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集运新增少量等待</w:t>
            </w:r>
          </w:p>
        </w:tc>
      </w:tr>
      <w:tr>
        <w:tc>
          <w:tcPr>
            <w:tcW w:type="dxa" w:w="2268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碳排(tCO2e)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202.6</w:t>
            </w:r>
          </w:p>
        </w:tc>
        <w:tc>
          <w:tcPr>
            <w:tcW w:type="dxa" w:w="2041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185.6</w:t>
            </w:r>
          </w:p>
        </w:tc>
        <w:tc>
          <w:tcPr>
            <w:tcW w:type="dxa" w:w="2494"/>
          </w:tcPr>
          <w:p>
            <w:pPr>
              <w:spacing w:line="288" w:lineRule="auto"/>
            </w:pPr>
            <w:r/>
            <w:r>
              <w:rPr>
                <w:rFonts w:ascii="等线" w:hAnsi="等线" w:eastAsia="等线"/>
                <w:b w:val="0"/>
                <w:sz w:val="19"/>
              </w:rPr>
              <w:t>-8.39%</w:t>
            </w:r>
          </w:p>
        </w:tc>
      </w:tr>
    </w:tbl>
    <w:p/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成本降幅 (15.04%) 明显大于里程降幅 (8.39%), 差额来自趟次从 11 次减到 8 次所省下的出车固定成本。这印证了目标函数里单列固定成本的必要性: 如果只看里程, 这套方案的收益会被低估一半以上。</w:t>
      </w:r>
    </w:p>
    <w:p>
      <w:pPr>
        <w:spacing w:after="120" w:line="324" w:lineRule="auto"/>
        <w:ind w:firstLine="440"/>
      </w:pPr>
      <w:r>
        <w:rPr>
          <w:rFonts w:ascii="等线" w:hAnsi="等线" w:eastAsia="等线"/>
          <w:b w:val="0"/>
          <w:sz w:val="22"/>
        </w:rPr>
        <w:t>另有 3 个装修垃圾订单因视觉置信度不足 (0.72、0.68、0.66) 被转入人工复核队列。它们没有占用运力, 也没有产生无效车次, 这正是分诊环节的作用。</w:t>
      </w:r>
    </w:p>
    <w:p>
      <w:pPr>
        <w:spacing w:before="320" w:after="140"/>
      </w:pPr>
      <w:r>
        <w:rPr>
          <w:rFonts w:ascii="等线" w:hAnsi="等线" w:eastAsia="等线"/>
          <w:b/>
          <w:color w:val="4472C4"/>
          <w:sz w:val="30"/>
        </w:rPr>
        <w:t>六、落地步骤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第一步, 用公开信息建立设施底图: 处理设施位置、接收范围、营业时段。这一步不需要合作方授权即可完成。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第二步, 用模拟数据跑通模型: 先验证机制是否正确, 再用真实订单校准里程单价、等待费率与处置费。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第三步, 接入动态数据: 车辆轨迹、排队时长、动态容量。模型结构不变, 只替换输入参数。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第四步, 现场对照试点: 同一验收标准下比较人工调度与算法调度的每单成本、准时率与拒收率。</w:t>
      </w:r>
    </w:p>
    <w:p>
      <w:pPr>
        <w:spacing w:before="320" w:after="140"/>
      </w:pPr>
      <w:r>
        <w:rPr>
          <w:rFonts w:ascii="等线" w:hAnsi="等线" w:eastAsia="等线"/>
          <w:b/>
          <w:color w:val="ED7D31"/>
          <w:sz w:val="30"/>
        </w:rPr>
        <w:t>七、适用边界与局限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本方案按整车运输近似, 未展开单车路径与时间窗的联合优化, 下一步把装车顺序与车辆路径作为下层问题接入。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视觉预检只替代看见层面的判断。内部成分、污染物与材料质量仍需现场检验, 算法不越界。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集运的收益取决于订单量级。若现场以整车大单为主, 可合并空间有限, 此时方案的主要价值回到接收匹配与分诊。</w:t>
      </w:r>
    </w:p>
    <w:p>
      <w:pPr>
        <w:pStyle w:val="ListBullet"/>
        <w:spacing w:after="60" w:line="312" w:lineRule="auto"/>
      </w:pPr>
      <w:r>
        <w:rPr>
          <w:rFonts w:ascii="等线" w:hAnsi="等线" w:eastAsia="等线"/>
          <w:b w:val="0"/>
          <w:sz w:val="22"/>
        </w:rPr>
        <w:t>里程单价、等待费率、处置费与碳因子均为算例参数, 落地前须用当地实际台账标定。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