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E1D295" w14:textId="7775F2A7" w:rsidR="00D90ACF" w:rsidRPr="002859E2" w:rsidRDefault="00000000" w:rsidP="002859E2">
      <w:pPr>
        <w:jc w:val="center"/>
        <w:rPr>
          <w:rFonts w:ascii="Times New Roman" w:hAnsi="Times New Roman" w:cs="Times New Roman"/>
          <w:sz w:val="36"/>
          <w:szCs w:val="36"/>
        </w:rPr>
      </w:pPr>
      <w:r w:rsidRPr="002859E2">
        <w:rPr>
          <w:rFonts w:ascii="Times New Roman" w:hAnsi="Times New Roman" w:cs="Times New Roman"/>
          <w:b/>
          <w:sz w:val="36"/>
          <w:szCs w:val="36"/>
        </w:rPr>
        <w:t>Executive Summary</w:t>
      </w:r>
    </w:p>
    <w:p w14:paraId="1358543B" w14:textId="7E810CA2" w:rsidR="00D90ACF" w:rsidRDefault="00000000">
      <w:pPr>
        <w:jc w:val="center"/>
        <w:rPr>
          <w:rFonts w:ascii="Times New Roman" w:hAnsi="Times New Roman" w:cs="Times New Roman"/>
          <w:i/>
          <w:sz w:val="24"/>
          <w:szCs w:val="24"/>
        </w:rPr>
      </w:pPr>
      <w:r w:rsidRPr="002859E2">
        <w:rPr>
          <w:rFonts w:ascii="Times New Roman" w:hAnsi="Times New Roman" w:cs="Times New Roman"/>
          <w:i/>
          <w:sz w:val="24"/>
          <w:szCs w:val="24"/>
        </w:rPr>
        <w:t>Starbucks Promotion Optimization</w:t>
      </w:r>
      <w:r w:rsidR="002859E2">
        <w:rPr>
          <w:rFonts w:ascii="Times New Roman" w:hAnsi="Times New Roman" w:cs="Times New Roman"/>
          <w:i/>
          <w:sz w:val="24"/>
          <w:szCs w:val="24"/>
        </w:rPr>
        <w:t>:</w:t>
      </w:r>
      <w:r w:rsidRPr="002859E2">
        <w:rPr>
          <w:rFonts w:ascii="Times New Roman" w:hAnsi="Times New Roman" w:cs="Times New Roman"/>
          <w:i/>
          <w:sz w:val="24"/>
          <w:szCs w:val="24"/>
        </w:rPr>
        <w:t xml:space="preserve"> Uplift &amp; Time-Series Analysis</w:t>
      </w:r>
    </w:p>
    <w:p w14:paraId="5B6B75F1" w14:textId="77777777" w:rsidR="002859E2" w:rsidRPr="002859E2" w:rsidRDefault="002859E2">
      <w:pPr>
        <w:jc w:val="center"/>
        <w:rPr>
          <w:rFonts w:ascii="Times New Roman" w:hAnsi="Times New Roman" w:cs="Times New Roman"/>
          <w:sz w:val="24"/>
          <w:szCs w:val="24"/>
        </w:rPr>
      </w:pPr>
    </w:p>
    <w:p w14:paraId="3EA41474" w14:textId="77777777" w:rsidR="00D90ACF" w:rsidRPr="002859E2" w:rsidRDefault="00000000">
      <w:pPr>
        <w:spacing w:before="100" w:after="60"/>
        <w:rPr>
          <w:rFonts w:ascii="Times New Roman" w:hAnsi="Times New Roman" w:cs="Times New Roman"/>
          <w:sz w:val="28"/>
          <w:szCs w:val="28"/>
        </w:rPr>
      </w:pPr>
      <w:r w:rsidRPr="002859E2">
        <w:rPr>
          <w:rFonts w:ascii="Times New Roman" w:hAnsi="Times New Roman" w:cs="Times New Roman"/>
          <w:b/>
          <w:sz w:val="28"/>
          <w:szCs w:val="28"/>
        </w:rPr>
        <w:t>2.1 Project Objective</w:t>
      </w:r>
    </w:p>
    <w:p w14:paraId="37B188BF" w14:textId="77777777" w:rsidR="00D90ACF" w:rsidRDefault="00000000">
      <w:pPr>
        <w:spacing w:after="80" w:line="252" w:lineRule="auto"/>
        <w:rPr>
          <w:rFonts w:ascii="Times New Roman" w:hAnsi="Times New Roman" w:cs="Times New Roman"/>
          <w:sz w:val="24"/>
          <w:szCs w:val="24"/>
        </w:rPr>
      </w:pPr>
      <w:r w:rsidRPr="002859E2">
        <w:rPr>
          <w:rFonts w:ascii="Times New Roman" w:hAnsi="Times New Roman" w:cs="Times New Roman"/>
          <w:sz w:val="24"/>
          <w:szCs w:val="24"/>
        </w:rPr>
        <w:t>The objective of this project was to develop a data-driven promotion targeting strategy for Starbucks that focuses on incremental customer value rather than simply predicting which customers are likely to purchase. Promotional offers can be sent to customers who would have purchased anyway, creating unnecessary discount costs and reducing margins. The analysis therefore focused on identifying customers whose spending behavior is expected to change because of an offer. This was achieved through event-level data reconstruction, time-series feature engineering, uplift modeling, and budget-constrained optimization.</w:t>
      </w:r>
    </w:p>
    <w:p w14:paraId="52CC8E5B" w14:textId="77777777" w:rsidR="002859E2" w:rsidRPr="002859E2" w:rsidRDefault="002859E2">
      <w:pPr>
        <w:spacing w:after="80" w:line="252" w:lineRule="auto"/>
        <w:rPr>
          <w:rFonts w:ascii="Times New Roman" w:hAnsi="Times New Roman" w:cs="Times New Roman"/>
          <w:sz w:val="24"/>
          <w:szCs w:val="24"/>
        </w:rPr>
      </w:pPr>
    </w:p>
    <w:p w14:paraId="30D7E2BA" w14:textId="77777777" w:rsidR="00D90ACF" w:rsidRPr="002859E2" w:rsidRDefault="00000000">
      <w:pPr>
        <w:spacing w:before="100" w:after="60"/>
        <w:rPr>
          <w:rFonts w:ascii="Times New Roman" w:hAnsi="Times New Roman" w:cs="Times New Roman"/>
          <w:sz w:val="28"/>
          <w:szCs w:val="28"/>
        </w:rPr>
      </w:pPr>
      <w:r w:rsidRPr="002859E2">
        <w:rPr>
          <w:rFonts w:ascii="Times New Roman" w:hAnsi="Times New Roman" w:cs="Times New Roman"/>
          <w:b/>
          <w:sz w:val="28"/>
          <w:szCs w:val="28"/>
        </w:rPr>
        <w:t>2.2 Handling the 'Accidental Completion' Trap</w:t>
      </w:r>
    </w:p>
    <w:p w14:paraId="6521BD27" w14:textId="77777777" w:rsidR="00D90ACF" w:rsidRPr="002859E2" w:rsidRDefault="00000000">
      <w:pPr>
        <w:spacing w:after="80" w:line="252" w:lineRule="auto"/>
        <w:rPr>
          <w:rFonts w:ascii="Times New Roman" w:hAnsi="Times New Roman" w:cs="Times New Roman"/>
          <w:sz w:val="24"/>
          <w:szCs w:val="24"/>
        </w:rPr>
      </w:pPr>
      <w:r w:rsidRPr="002859E2">
        <w:rPr>
          <w:rFonts w:ascii="Times New Roman" w:hAnsi="Times New Roman" w:cs="Times New Roman"/>
          <w:sz w:val="24"/>
          <w:szCs w:val="24"/>
        </w:rPr>
        <w:t>One of the most important data-quality challenges was the Accidental Completion problem. A customer could receive an offer and complete it without having a recorded offer-view event before completion. Treating every completion as evidence that the customer was influenced by the promotion could therefore create a misleading definition of treatment.</w:t>
      </w:r>
    </w:p>
    <w:p w14:paraId="5A627B3A" w14:textId="77777777" w:rsidR="00D90ACF" w:rsidRPr="002859E2" w:rsidRDefault="00000000">
      <w:pPr>
        <w:spacing w:after="80" w:line="252" w:lineRule="auto"/>
        <w:rPr>
          <w:rFonts w:ascii="Times New Roman" w:hAnsi="Times New Roman" w:cs="Times New Roman"/>
          <w:sz w:val="24"/>
          <w:szCs w:val="24"/>
        </w:rPr>
      </w:pPr>
      <w:r w:rsidRPr="002859E2">
        <w:rPr>
          <w:rFonts w:ascii="Times New Roman" w:hAnsi="Times New Roman" w:cs="Times New Roman"/>
          <w:sz w:val="24"/>
          <w:szCs w:val="24"/>
        </w:rPr>
        <w:t>The customer-offer journey was reconstructed using the sequence of offer received, offer viewed, and offer completed events. Customers who completed a promotional offer without a recorded prior view were classified as accidental completers. These customers were not automatically considered treated because the uplift model was designed to estimate the incremental effect associated with viewing the offer, rather than simply completing it.</w:t>
      </w:r>
    </w:p>
    <w:p w14:paraId="0F1E35CB" w14:textId="77777777" w:rsidR="00D90ACF" w:rsidRPr="002859E2" w:rsidRDefault="00000000">
      <w:pPr>
        <w:spacing w:after="80" w:line="252" w:lineRule="auto"/>
        <w:rPr>
          <w:rFonts w:ascii="Times New Roman" w:hAnsi="Times New Roman" w:cs="Times New Roman"/>
          <w:sz w:val="24"/>
          <w:szCs w:val="24"/>
        </w:rPr>
      </w:pPr>
      <w:r w:rsidRPr="002859E2">
        <w:rPr>
          <w:rFonts w:ascii="Times New Roman" w:hAnsi="Times New Roman" w:cs="Times New Roman"/>
          <w:sz w:val="24"/>
          <w:szCs w:val="24"/>
        </w:rPr>
        <w:t>Three treatment definitions were examined as a sensitivity analysis: treating accidental completers as control, excluding them, and treating them as treated. The primary approach classified accidental completers as control because it most closely matched the business interpretation of treatment: a customer must actually view the offer for the offer exposure to be considered treatment.</w:t>
      </w:r>
    </w:p>
    <w:p w14:paraId="1502586F" w14:textId="77777777" w:rsidR="00D90ACF" w:rsidRPr="002859E2" w:rsidRDefault="00000000">
      <w:pPr>
        <w:spacing w:after="80" w:line="252" w:lineRule="auto"/>
        <w:rPr>
          <w:rFonts w:ascii="Times New Roman" w:hAnsi="Times New Roman" w:cs="Times New Roman"/>
          <w:sz w:val="24"/>
          <w:szCs w:val="24"/>
        </w:rPr>
      </w:pPr>
      <w:r w:rsidRPr="002859E2">
        <w:rPr>
          <w:rFonts w:ascii="Times New Roman" w:hAnsi="Times New Roman" w:cs="Times New Roman"/>
          <w:sz w:val="24"/>
          <w:szCs w:val="24"/>
        </w:rPr>
        <w:t>The analysis identified 9,834 accidental completers, 8,519 never-viewed customers, and 42,689 normally viewed/completed observations. Their average spending was approximately $52.35, $4.36, and $31.04 respectively. The accidental group was therefore behaviorally distinct from customers who never interacted with the offer, but it was not treated as normal treatment because there was no recorded evidence that viewing the offer preceded the completion.</w:t>
      </w:r>
    </w:p>
    <w:p w14:paraId="160749D5" w14:textId="77777777" w:rsidR="00D90ACF" w:rsidRDefault="00000000">
      <w:pPr>
        <w:spacing w:after="80" w:line="252" w:lineRule="auto"/>
        <w:rPr>
          <w:rFonts w:ascii="Times New Roman" w:hAnsi="Times New Roman" w:cs="Times New Roman"/>
          <w:sz w:val="24"/>
          <w:szCs w:val="24"/>
        </w:rPr>
      </w:pPr>
      <w:r w:rsidRPr="002859E2">
        <w:rPr>
          <w:rFonts w:ascii="Times New Roman" w:hAnsi="Times New Roman" w:cs="Times New Roman"/>
          <w:sz w:val="24"/>
          <w:szCs w:val="24"/>
        </w:rPr>
        <w:t>This decision was important because incorrectly assigning accidental completers to the treatment group could make the model appear to find strong uplift when the customer's behavior may have occurred independently of viewing the promotion.</w:t>
      </w:r>
    </w:p>
    <w:p w14:paraId="73DC4128" w14:textId="77777777" w:rsidR="002859E2" w:rsidRPr="002859E2" w:rsidRDefault="002859E2">
      <w:pPr>
        <w:spacing w:after="80" w:line="252" w:lineRule="auto"/>
        <w:rPr>
          <w:rFonts w:ascii="Times New Roman" w:hAnsi="Times New Roman" w:cs="Times New Roman"/>
          <w:sz w:val="24"/>
          <w:szCs w:val="24"/>
        </w:rPr>
      </w:pPr>
    </w:p>
    <w:p w14:paraId="30A82A00" w14:textId="77777777" w:rsidR="00D90ACF" w:rsidRPr="002859E2" w:rsidRDefault="00000000">
      <w:pPr>
        <w:spacing w:before="100" w:after="60"/>
        <w:rPr>
          <w:rFonts w:ascii="Times New Roman" w:hAnsi="Times New Roman" w:cs="Times New Roman"/>
          <w:sz w:val="28"/>
          <w:szCs w:val="28"/>
        </w:rPr>
      </w:pPr>
      <w:r w:rsidRPr="002859E2">
        <w:rPr>
          <w:rFonts w:ascii="Times New Roman" w:hAnsi="Times New Roman" w:cs="Times New Roman"/>
          <w:b/>
          <w:sz w:val="28"/>
          <w:szCs w:val="28"/>
        </w:rPr>
        <w:t>2.3 Time-Series Feature Engineering and Predictive Value</w:t>
      </w:r>
    </w:p>
    <w:p w14:paraId="3E600FA0" w14:textId="77777777" w:rsidR="00D90ACF" w:rsidRDefault="00000000">
      <w:pPr>
        <w:spacing w:after="80" w:line="252" w:lineRule="auto"/>
        <w:rPr>
          <w:rFonts w:ascii="Times New Roman" w:hAnsi="Times New Roman" w:cs="Times New Roman"/>
          <w:sz w:val="24"/>
          <w:szCs w:val="24"/>
        </w:rPr>
      </w:pPr>
      <w:r w:rsidRPr="002859E2">
        <w:rPr>
          <w:rFonts w:ascii="Times New Roman" w:hAnsi="Times New Roman" w:cs="Times New Roman"/>
          <w:sz w:val="24"/>
          <w:szCs w:val="24"/>
        </w:rPr>
        <w:t>Rather than relying only on static demographic characteristics, the project incorporated customer behavior immediately before each offer was received. Four key time-series features were engineered: Offer Fatigue, Inter-Purchase Time (IPT), Reward Hunting Index, and Time-Decayed AOV. All features were calculated using only information available before the offer arrived to prevent future-data leakage.</w:t>
      </w:r>
    </w:p>
    <w:p w14:paraId="22972565" w14:textId="77777777" w:rsidR="002859E2" w:rsidRPr="002859E2" w:rsidRDefault="002859E2">
      <w:pPr>
        <w:spacing w:after="80" w:line="252" w:lineRule="auto"/>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3360"/>
        <w:gridCol w:w="3360"/>
        <w:gridCol w:w="3360"/>
      </w:tblGrid>
      <w:tr w:rsidR="00D90ACF" w:rsidRPr="002859E2" w14:paraId="0DF56915" w14:textId="77777777">
        <w:tc>
          <w:tcPr>
            <w:tcW w:w="3360" w:type="dxa"/>
          </w:tcPr>
          <w:p w14:paraId="06444DDC" w14:textId="77777777" w:rsidR="00D90ACF" w:rsidRPr="002859E2" w:rsidRDefault="00000000">
            <w:pPr>
              <w:rPr>
                <w:rFonts w:ascii="Times New Roman" w:hAnsi="Times New Roman" w:cs="Times New Roman"/>
              </w:rPr>
            </w:pPr>
            <w:r w:rsidRPr="002859E2">
              <w:rPr>
                <w:rFonts w:ascii="Times New Roman" w:hAnsi="Times New Roman" w:cs="Times New Roman"/>
              </w:rPr>
              <w:lastRenderedPageBreak/>
              <w:t>Feature</w:t>
            </w:r>
          </w:p>
        </w:tc>
        <w:tc>
          <w:tcPr>
            <w:tcW w:w="3360" w:type="dxa"/>
          </w:tcPr>
          <w:p w14:paraId="056BB782" w14:textId="77777777" w:rsidR="00D90ACF" w:rsidRPr="002859E2" w:rsidRDefault="00000000">
            <w:pPr>
              <w:rPr>
                <w:rFonts w:ascii="Times New Roman" w:hAnsi="Times New Roman" w:cs="Times New Roman"/>
              </w:rPr>
            </w:pPr>
            <w:r w:rsidRPr="002859E2">
              <w:rPr>
                <w:rFonts w:ascii="Times New Roman" w:hAnsi="Times New Roman" w:cs="Times New Roman"/>
              </w:rPr>
              <w:t>What it captures</w:t>
            </w:r>
          </w:p>
        </w:tc>
        <w:tc>
          <w:tcPr>
            <w:tcW w:w="3360" w:type="dxa"/>
          </w:tcPr>
          <w:p w14:paraId="106BADC0" w14:textId="77777777" w:rsidR="00D90ACF" w:rsidRPr="002859E2" w:rsidRDefault="00000000">
            <w:pPr>
              <w:rPr>
                <w:rFonts w:ascii="Times New Roman" w:hAnsi="Times New Roman" w:cs="Times New Roman"/>
              </w:rPr>
            </w:pPr>
            <w:r w:rsidRPr="002859E2">
              <w:rPr>
                <w:rFonts w:ascii="Times New Roman" w:hAnsi="Times New Roman" w:cs="Times New Roman"/>
              </w:rPr>
              <w:t>Observed insight</w:t>
            </w:r>
          </w:p>
        </w:tc>
      </w:tr>
      <w:tr w:rsidR="00D90ACF" w:rsidRPr="002859E2" w14:paraId="73925D97" w14:textId="77777777">
        <w:tc>
          <w:tcPr>
            <w:tcW w:w="3360" w:type="dxa"/>
          </w:tcPr>
          <w:p w14:paraId="1ACD054D" w14:textId="77777777" w:rsidR="00D90ACF" w:rsidRPr="002859E2" w:rsidRDefault="00000000">
            <w:pPr>
              <w:rPr>
                <w:rFonts w:ascii="Times New Roman" w:hAnsi="Times New Roman" w:cs="Times New Roman"/>
              </w:rPr>
            </w:pPr>
            <w:r w:rsidRPr="002859E2">
              <w:rPr>
                <w:rFonts w:ascii="Times New Roman" w:hAnsi="Times New Roman" w:cs="Times New Roman"/>
              </w:rPr>
              <w:t>Offer Fatigue</w:t>
            </w:r>
          </w:p>
        </w:tc>
        <w:tc>
          <w:tcPr>
            <w:tcW w:w="3360" w:type="dxa"/>
          </w:tcPr>
          <w:p w14:paraId="46511711" w14:textId="77777777" w:rsidR="00D90ACF" w:rsidRPr="002859E2" w:rsidRDefault="00000000">
            <w:pPr>
              <w:rPr>
                <w:rFonts w:ascii="Times New Roman" w:hAnsi="Times New Roman" w:cs="Times New Roman"/>
              </w:rPr>
            </w:pPr>
            <w:r w:rsidRPr="002859E2">
              <w:rPr>
                <w:rFonts w:ascii="Times New Roman" w:hAnsi="Times New Roman" w:cs="Times New Roman"/>
              </w:rPr>
              <w:t>Rolling count of offers received in the previous 14 and 30 days.</w:t>
            </w:r>
          </w:p>
        </w:tc>
        <w:tc>
          <w:tcPr>
            <w:tcW w:w="3360" w:type="dxa"/>
          </w:tcPr>
          <w:p w14:paraId="2FEEB494" w14:textId="77777777" w:rsidR="00D90ACF" w:rsidRPr="002859E2" w:rsidRDefault="00000000">
            <w:pPr>
              <w:rPr>
                <w:rFonts w:ascii="Times New Roman" w:hAnsi="Times New Roman" w:cs="Times New Roman"/>
              </w:rPr>
            </w:pPr>
            <w:r w:rsidRPr="002859E2">
              <w:rPr>
                <w:rFonts w:ascii="Times New Roman" w:hAnsi="Times New Roman" w:cs="Times New Roman"/>
              </w:rPr>
              <w:t>Captures recent promotional exposure and possible offer saturation.</w:t>
            </w:r>
          </w:p>
        </w:tc>
      </w:tr>
      <w:tr w:rsidR="00D90ACF" w:rsidRPr="002859E2" w14:paraId="43D29D47" w14:textId="77777777">
        <w:tc>
          <w:tcPr>
            <w:tcW w:w="3360" w:type="dxa"/>
          </w:tcPr>
          <w:p w14:paraId="511D632A" w14:textId="77777777" w:rsidR="00D90ACF" w:rsidRPr="002859E2" w:rsidRDefault="00000000">
            <w:pPr>
              <w:rPr>
                <w:rFonts w:ascii="Times New Roman" w:hAnsi="Times New Roman" w:cs="Times New Roman"/>
              </w:rPr>
            </w:pPr>
            <w:r w:rsidRPr="002859E2">
              <w:rPr>
                <w:rFonts w:ascii="Times New Roman" w:hAnsi="Times New Roman" w:cs="Times New Roman"/>
              </w:rPr>
              <w:t>Inter-Purchase Time (IPT)</w:t>
            </w:r>
          </w:p>
        </w:tc>
        <w:tc>
          <w:tcPr>
            <w:tcW w:w="3360" w:type="dxa"/>
          </w:tcPr>
          <w:p w14:paraId="6F721F17" w14:textId="77777777" w:rsidR="00D90ACF" w:rsidRPr="002859E2" w:rsidRDefault="00000000">
            <w:pPr>
              <w:rPr>
                <w:rFonts w:ascii="Times New Roman" w:hAnsi="Times New Roman" w:cs="Times New Roman"/>
              </w:rPr>
            </w:pPr>
            <w:r w:rsidRPr="002859E2">
              <w:rPr>
                <w:rFonts w:ascii="Times New Roman" w:hAnsi="Times New Roman" w:cs="Times New Roman"/>
              </w:rPr>
              <w:t>Typical gap between organic, non-offer transactions.</w:t>
            </w:r>
          </w:p>
        </w:tc>
        <w:tc>
          <w:tcPr>
            <w:tcW w:w="3360" w:type="dxa"/>
          </w:tcPr>
          <w:p w14:paraId="081FB796" w14:textId="77777777" w:rsidR="00D90ACF" w:rsidRPr="002859E2" w:rsidRDefault="00000000">
            <w:pPr>
              <w:rPr>
                <w:rFonts w:ascii="Times New Roman" w:hAnsi="Times New Roman" w:cs="Times New Roman"/>
              </w:rPr>
            </w:pPr>
            <w:r w:rsidRPr="002859E2">
              <w:rPr>
                <w:rFonts w:ascii="Times New Roman" w:hAnsi="Times New Roman" w:cs="Times New Roman"/>
              </w:rPr>
              <w:t>Captures the customer's natural purchasing rhythm; IPT increased across observed snapshots.</w:t>
            </w:r>
          </w:p>
        </w:tc>
      </w:tr>
      <w:tr w:rsidR="00D90ACF" w:rsidRPr="002859E2" w14:paraId="1248E29C" w14:textId="77777777">
        <w:tc>
          <w:tcPr>
            <w:tcW w:w="3360" w:type="dxa"/>
          </w:tcPr>
          <w:p w14:paraId="01E897F2" w14:textId="77777777" w:rsidR="00D90ACF" w:rsidRPr="002859E2" w:rsidRDefault="00000000">
            <w:pPr>
              <w:rPr>
                <w:rFonts w:ascii="Times New Roman" w:hAnsi="Times New Roman" w:cs="Times New Roman"/>
              </w:rPr>
            </w:pPr>
            <w:r w:rsidRPr="002859E2">
              <w:rPr>
                <w:rFonts w:ascii="Times New Roman" w:hAnsi="Times New Roman" w:cs="Times New Roman"/>
              </w:rPr>
              <w:t>Reward Hunting Index</w:t>
            </w:r>
          </w:p>
        </w:tc>
        <w:tc>
          <w:tcPr>
            <w:tcW w:w="3360" w:type="dxa"/>
          </w:tcPr>
          <w:p w14:paraId="5319C8A6" w14:textId="77777777" w:rsidR="00D90ACF" w:rsidRPr="002859E2" w:rsidRDefault="00000000">
            <w:pPr>
              <w:rPr>
                <w:rFonts w:ascii="Times New Roman" w:hAnsi="Times New Roman" w:cs="Times New Roman"/>
              </w:rPr>
            </w:pPr>
            <w:r w:rsidRPr="002859E2">
              <w:rPr>
                <w:rFonts w:ascii="Times New Roman" w:hAnsi="Times New Roman" w:cs="Times New Roman"/>
              </w:rPr>
              <w:t>Historical spending during viewed-offer periods relative to organic periods.</w:t>
            </w:r>
          </w:p>
        </w:tc>
        <w:tc>
          <w:tcPr>
            <w:tcW w:w="3360" w:type="dxa"/>
          </w:tcPr>
          <w:p w14:paraId="1F3368D1" w14:textId="77777777" w:rsidR="00D90ACF" w:rsidRPr="002859E2" w:rsidRDefault="00000000">
            <w:pPr>
              <w:rPr>
                <w:rFonts w:ascii="Times New Roman" w:hAnsi="Times New Roman" w:cs="Times New Roman"/>
              </w:rPr>
            </w:pPr>
            <w:r w:rsidRPr="002859E2">
              <w:rPr>
                <w:rFonts w:ascii="Times New Roman" w:hAnsi="Times New Roman" w:cs="Times New Roman"/>
              </w:rPr>
              <w:t>Captures promotional responsiveness and price-sensitive behavior.</w:t>
            </w:r>
          </w:p>
        </w:tc>
      </w:tr>
      <w:tr w:rsidR="00D90ACF" w:rsidRPr="002859E2" w14:paraId="34968637" w14:textId="77777777">
        <w:tc>
          <w:tcPr>
            <w:tcW w:w="3360" w:type="dxa"/>
          </w:tcPr>
          <w:p w14:paraId="112A357E" w14:textId="77777777" w:rsidR="00D90ACF" w:rsidRPr="002859E2" w:rsidRDefault="00000000">
            <w:pPr>
              <w:rPr>
                <w:rFonts w:ascii="Times New Roman" w:hAnsi="Times New Roman" w:cs="Times New Roman"/>
              </w:rPr>
            </w:pPr>
            <w:r w:rsidRPr="002859E2">
              <w:rPr>
                <w:rFonts w:ascii="Times New Roman" w:hAnsi="Times New Roman" w:cs="Times New Roman"/>
              </w:rPr>
              <w:t>Time-Decayed AOV</w:t>
            </w:r>
          </w:p>
        </w:tc>
        <w:tc>
          <w:tcPr>
            <w:tcW w:w="3360" w:type="dxa"/>
          </w:tcPr>
          <w:p w14:paraId="1B52ECCE" w14:textId="77777777" w:rsidR="00D90ACF" w:rsidRPr="002859E2" w:rsidRDefault="00000000">
            <w:pPr>
              <w:rPr>
                <w:rFonts w:ascii="Times New Roman" w:hAnsi="Times New Roman" w:cs="Times New Roman"/>
              </w:rPr>
            </w:pPr>
            <w:r w:rsidRPr="002859E2">
              <w:rPr>
                <w:rFonts w:ascii="Times New Roman" w:hAnsi="Times New Roman" w:cs="Times New Roman"/>
              </w:rPr>
              <w:t>Average order value with greater weight assigned to recent transactions.</w:t>
            </w:r>
          </w:p>
        </w:tc>
        <w:tc>
          <w:tcPr>
            <w:tcW w:w="3360" w:type="dxa"/>
          </w:tcPr>
          <w:p w14:paraId="57535FFE" w14:textId="77777777" w:rsidR="00D90ACF" w:rsidRPr="002859E2" w:rsidRDefault="00000000">
            <w:pPr>
              <w:rPr>
                <w:rFonts w:ascii="Times New Roman" w:hAnsi="Times New Roman" w:cs="Times New Roman"/>
              </w:rPr>
            </w:pPr>
            <w:r w:rsidRPr="002859E2">
              <w:rPr>
                <w:rFonts w:ascii="Times New Roman" w:hAnsi="Times New Roman" w:cs="Times New Roman"/>
              </w:rPr>
              <w:t>Captures recent spending behavior; the 7-day version remained close to normal AOV.</w:t>
            </w:r>
          </w:p>
        </w:tc>
      </w:tr>
    </w:tbl>
    <w:p w14:paraId="29B6B5D6" w14:textId="77777777" w:rsidR="002859E2" w:rsidRDefault="002859E2">
      <w:pPr>
        <w:spacing w:after="80" w:line="252" w:lineRule="auto"/>
        <w:rPr>
          <w:rFonts w:ascii="Times New Roman" w:hAnsi="Times New Roman" w:cs="Times New Roman"/>
        </w:rPr>
      </w:pPr>
    </w:p>
    <w:p w14:paraId="0DA7B7E3" w14:textId="449881C2" w:rsidR="00D90ACF" w:rsidRPr="002859E2" w:rsidRDefault="00000000">
      <w:pPr>
        <w:spacing w:after="80" w:line="252" w:lineRule="auto"/>
        <w:rPr>
          <w:rFonts w:ascii="Times New Roman" w:hAnsi="Times New Roman" w:cs="Times New Roman"/>
          <w:sz w:val="24"/>
          <w:szCs w:val="24"/>
        </w:rPr>
      </w:pPr>
      <w:r w:rsidRPr="002859E2">
        <w:rPr>
          <w:rFonts w:ascii="Times New Roman" w:hAnsi="Times New Roman" w:cs="Times New Roman"/>
          <w:sz w:val="24"/>
          <w:szCs w:val="24"/>
        </w:rPr>
        <w:t>Offer Fatigue showed increasing promotional exposure over time and distinguished recent exposure from older activity. IPT increased from approximately 2.16 to 5.08 days across the observed snapshots, although it was available for about 32.4% of observations because sufficient prior organic transactions were required. The Reward Hunting Index reached a mean customer-level value of approximately 17.94 in the final snapshot, providing a behavioral measure of promotional responsiveness. Time-Decayed AOV remained close to standard AOV, while sensitivity testing across 3-, 7-, and 14-day half-lives showed that the feature was robust to the choice of decay period.</w:t>
      </w:r>
    </w:p>
    <w:p w14:paraId="76463303" w14:textId="77777777" w:rsidR="00D90ACF" w:rsidRPr="002859E2" w:rsidRDefault="00000000">
      <w:pPr>
        <w:spacing w:after="80" w:line="252" w:lineRule="auto"/>
        <w:rPr>
          <w:rFonts w:ascii="Times New Roman" w:hAnsi="Times New Roman" w:cs="Times New Roman"/>
          <w:sz w:val="24"/>
          <w:szCs w:val="24"/>
        </w:rPr>
      </w:pPr>
      <w:r w:rsidRPr="002859E2">
        <w:rPr>
          <w:rFonts w:ascii="Times New Roman" w:hAnsi="Times New Roman" w:cs="Times New Roman"/>
          <w:sz w:val="24"/>
          <w:szCs w:val="24"/>
        </w:rPr>
        <w:t>Leakage prevention was treated as a key requirement. A dedicated test reconstructed features for 400 randomly selected customer-offer snapshots after removing future transactions, offer receipts, and offer views. The test produced zero mismatches and a largest difference of 0, providing strong evidence that the feature-engineering pipeline was leakage-safe for the tested observations.</w:t>
      </w:r>
    </w:p>
    <w:p w14:paraId="7E1FF917" w14:textId="77777777" w:rsidR="00D90ACF" w:rsidRDefault="00000000">
      <w:pPr>
        <w:spacing w:after="80" w:line="252" w:lineRule="auto"/>
        <w:rPr>
          <w:rFonts w:ascii="Times New Roman" w:hAnsi="Times New Roman" w:cs="Times New Roman"/>
          <w:sz w:val="24"/>
          <w:szCs w:val="24"/>
        </w:rPr>
      </w:pPr>
      <w:r w:rsidRPr="002859E2">
        <w:rPr>
          <w:rFonts w:ascii="Times New Roman" w:hAnsi="Times New Roman" w:cs="Times New Roman"/>
          <w:sz w:val="24"/>
          <w:szCs w:val="24"/>
        </w:rPr>
        <w:t>Overall, these engineered features add behavioral information that static variables such as age and income cannot capture. They describe how recently, how frequently, and under what promotional conditions a customer tends to spend, which is directly relevant to identifying customers whose behavior may change in response to an offer.</w:t>
      </w:r>
    </w:p>
    <w:p w14:paraId="55FA19CE" w14:textId="77777777" w:rsidR="002859E2" w:rsidRPr="002859E2" w:rsidRDefault="002859E2">
      <w:pPr>
        <w:spacing w:after="80" w:line="252" w:lineRule="auto"/>
        <w:rPr>
          <w:rFonts w:ascii="Times New Roman" w:hAnsi="Times New Roman" w:cs="Times New Roman"/>
          <w:sz w:val="24"/>
          <w:szCs w:val="24"/>
        </w:rPr>
      </w:pPr>
    </w:p>
    <w:p w14:paraId="2BA3E310" w14:textId="77777777" w:rsidR="00D90ACF" w:rsidRPr="002859E2" w:rsidRDefault="00000000">
      <w:pPr>
        <w:spacing w:before="100" w:after="60"/>
        <w:rPr>
          <w:rFonts w:ascii="Times New Roman" w:hAnsi="Times New Roman" w:cs="Times New Roman"/>
          <w:sz w:val="28"/>
          <w:szCs w:val="28"/>
        </w:rPr>
      </w:pPr>
      <w:r w:rsidRPr="002859E2">
        <w:rPr>
          <w:rFonts w:ascii="Times New Roman" w:hAnsi="Times New Roman" w:cs="Times New Roman"/>
          <w:b/>
          <w:sz w:val="28"/>
          <w:szCs w:val="28"/>
        </w:rPr>
        <w:t>2.4 Uplift Modeling and Evaluation</w:t>
      </w:r>
    </w:p>
    <w:p w14:paraId="494AB275" w14:textId="77777777" w:rsidR="00D90ACF" w:rsidRPr="002859E2" w:rsidRDefault="00000000">
      <w:pPr>
        <w:spacing w:after="80" w:line="252" w:lineRule="auto"/>
        <w:rPr>
          <w:rFonts w:ascii="Times New Roman" w:hAnsi="Times New Roman" w:cs="Times New Roman"/>
          <w:sz w:val="24"/>
          <w:szCs w:val="24"/>
        </w:rPr>
      </w:pPr>
      <w:r w:rsidRPr="002859E2">
        <w:rPr>
          <w:rFonts w:ascii="Times New Roman" w:hAnsi="Times New Roman" w:cs="Times New Roman"/>
          <w:sz w:val="24"/>
          <w:szCs w:val="24"/>
        </w:rPr>
        <w:t>The project used T-Learner and S-Learner uplift models instead of a standard purchase-probability classifier. The objective was not simply to predict who would purchase, but to estimate who would spend more because of the promotion. The target outcome was continuous spending during the 24–</w:t>
      </w:r>
      <w:proofErr w:type="gramStart"/>
      <w:r w:rsidRPr="002859E2">
        <w:rPr>
          <w:rFonts w:ascii="Times New Roman" w:hAnsi="Times New Roman" w:cs="Times New Roman"/>
          <w:sz w:val="24"/>
          <w:szCs w:val="24"/>
        </w:rPr>
        <w:t>72 hour</w:t>
      </w:r>
      <w:proofErr w:type="gramEnd"/>
      <w:r w:rsidRPr="002859E2">
        <w:rPr>
          <w:rFonts w:ascii="Times New Roman" w:hAnsi="Times New Roman" w:cs="Times New Roman"/>
          <w:sz w:val="24"/>
          <w:szCs w:val="24"/>
        </w:rPr>
        <w:t xml:space="preserve"> period after offer receipt.</w:t>
      </w:r>
    </w:p>
    <w:p w14:paraId="51ACFD95" w14:textId="77777777" w:rsidR="00D90ACF" w:rsidRDefault="00000000">
      <w:pPr>
        <w:spacing w:after="80" w:line="252" w:lineRule="auto"/>
        <w:rPr>
          <w:rFonts w:ascii="Times New Roman" w:hAnsi="Times New Roman" w:cs="Times New Roman"/>
          <w:sz w:val="24"/>
          <w:szCs w:val="24"/>
        </w:rPr>
      </w:pPr>
      <w:r w:rsidRPr="002859E2">
        <w:rPr>
          <w:rFonts w:ascii="Times New Roman" w:hAnsi="Times New Roman" w:cs="Times New Roman"/>
          <w:sz w:val="24"/>
          <w:szCs w:val="24"/>
        </w:rPr>
        <w:t>Time-based, forward-chaining validation was used instead of random train-test splitting so that models were always trained on earlier observations and evaluated on future observations. During model validation, the T-Learner achieved the strongest mean Qini performance, with a mean Qini coefficient of approximately 0.762 compared with 0.653 for the selected S-Learner configuration.</w:t>
      </w:r>
    </w:p>
    <w:p w14:paraId="32521F10" w14:textId="77777777" w:rsidR="002859E2" w:rsidRPr="002859E2" w:rsidRDefault="002859E2">
      <w:pPr>
        <w:spacing w:after="80" w:line="252" w:lineRule="auto"/>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3360"/>
        <w:gridCol w:w="3360"/>
        <w:gridCol w:w="3360"/>
      </w:tblGrid>
      <w:tr w:rsidR="00D90ACF" w:rsidRPr="002859E2" w14:paraId="4BCD0ED9" w14:textId="77777777">
        <w:tc>
          <w:tcPr>
            <w:tcW w:w="3360" w:type="dxa"/>
          </w:tcPr>
          <w:p w14:paraId="7489171D" w14:textId="77777777" w:rsidR="00D90ACF" w:rsidRPr="002859E2" w:rsidRDefault="00000000">
            <w:pPr>
              <w:rPr>
                <w:rFonts w:ascii="Times New Roman" w:hAnsi="Times New Roman" w:cs="Times New Roman"/>
              </w:rPr>
            </w:pPr>
            <w:r w:rsidRPr="002859E2">
              <w:rPr>
                <w:rFonts w:ascii="Times New Roman" w:hAnsi="Times New Roman" w:cs="Times New Roman"/>
              </w:rPr>
              <w:t>Model</w:t>
            </w:r>
          </w:p>
        </w:tc>
        <w:tc>
          <w:tcPr>
            <w:tcW w:w="3360" w:type="dxa"/>
          </w:tcPr>
          <w:p w14:paraId="4A48B982" w14:textId="77777777" w:rsidR="00D90ACF" w:rsidRPr="002859E2" w:rsidRDefault="00000000">
            <w:pPr>
              <w:rPr>
                <w:rFonts w:ascii="Times New Roman" w:hAnsi="Times New Roman" w:cs="Times New Roman"/>
              </w:rPr>
            </w:pPr>
            <w:r w:rsidRPr="002859E2">
              <w:rPr>
                <w:rFonts w:ascii="Times New Roman" w:hAnsi="Times New Roman" w:cs="Times New Roman"/>
              </w:rPr>
              <w:t>Holdout Qini</w:t>
            </w:r>
          </w:p>
        </w:tc>
        <w:tc>
          <w:tcPr>
            <w:tcW w:w="3360" w:type="dxa"/>
          </w:tcPr>
          <w:p w14:paraId="6301815F" w14:textId="77777777" w:rsidR="00D90ACF" w:rsidRPr="002859E2" w:rsidRDefault="00000000">
            <w:pPr>
              <w:rPr>
                <w:rFonts w:ascii="Times New Roman" w:hAnsi="Times New Roman" w:cs="Times New Roman"/>
              </w:rPr>
            </w:pPr>
            <w:r w:rsidRPr="002859E2">
              <w:rPr>
                <w:rFonts w:ascii="Times New Roman" w:hAnsi="Times New Roman" w:cs="Times New Roman"/>
              </w:rPr>
              <w:t>IPW Qini</w:t>
            </w:r>
          </w:p>
        </w:tc>
      </w:tr>
      <w:tr w:rsidR="00D90ACF" w:rsidRPr="002859E2" w14:paraId="0164F19A" w14:textId="77777777">
        <w:tc>
          <w:tcPr>
            <w:tcW w:w="3360" w:type="dxa"/>
          </w:tcPr>
          <w:p w14:paraId="14BF85E8" w14:textId="77777777" w:rsidR="00D90ACF" w:rsidRPr="002859E2" w:rsidRDefault="00000000">
            <w:pPr>
              <w:rPr>
                <w:rFonts w:ascii="Times New Roman" w:hAnsi="Times New Roman" w:cs="Times New Roman"/>
              </w:rPr>
            </w:pPr>
            <w:r w:rsidRPr="002859E2">
              <w:rPr>
                <w:rFonts w:ascii="Times New Roman" w:hAnsi="Times New Roman" w:cs="Times New Roman"/>
              </w:rPr>
              <w:t>T-Learner</w:t>
            </w:r>
          </w:p>
        </w:tc>
        <w:tc>
          <w:tcPr>
            <w:tcW w:w="3360" w:type="dxa"/>
          </w:tcPr>
          <w:p w14:paraId="1280DE6A" w14:textId="77777777" w:rsidR="00D90ACF" w:rsidRPr="002859E2" w:rsidRDefault="00000000">
            <w:pPr>
              <w:rPr>
                <w:rFonts w:ascii="Times New Roman" w:hAnsi="Times New Roman" w:cs="Times New Roman"/>
              </w:rPr>
            </w:pPr>
            <w:r w:rsidRPr="002859E2">
              <w:rPr>
                <w:rFonts w:ascii="Times New Roman" w:hAnsi="Times New Roman" w:cs="Times New Roman"/>
              </w:rPr>
              <w:t>1.036</w:t>
            </w:r>
          </w:p>
        </w:tc>
        <w:tc>
          <w:tcPr>
            <w:tcW w:w="3360" w:type="dxa"/>
          </w:tcPr>
          <w:p w14:paraId="74E146C5" w14:textId="77777777" w:rsidR="00D90ACF" w:rsidRPr="002859E2" w:rsidRDefault="00000000">
            <w:pPr>
              <w:rPr>
                <w:rFonts w:ascii="Times New Roman" w:hAnsi="Times New Roman" w:cs="Times New Roman"/>
              </w:rPr>
            </w:pPr>
            <w:r w:rsidRPr="002859E2">
              <w:rPr>
                <w:rFonts w:ascii="Times New Roman" w:hAnsi="Times New Roman" w:cs="Times New Roman"/>
              </w:rPr>
              <w:t>0.364</w:t>
            </w:r>
          </w:p>
        </w:tc>
      </w:tr>
      <w:tr w:rsidR="00D90ACF" w:rsidRPr="002859E2" w14:paraId="7D0D0C61" w14:textId="77777777">
        <w:tc>
          <w:tcPr>
            <w:tcW w:w="3360" w:type="dxa"/>
          </w:tcPr>
          <w:p w14:paraId="18954224" w14:textId="77777777" w:rsidR="00D90ACF" w:rsidRPr="002859E2" w:rsidRDefault="00000000">
            <w:pPr>
              <w:rPr>
                <w:rFonts w:ascii="Times New Roman" w:hAnsi="Times New Roman" w:cs="Times New Roman"/>
              </w:rPr>
            </w:pPr>
            <w:r w:rsidRPr="002859E2">
              <w:rPr>
                <w:rFonts w:ascii="Times New Roman" w:hAnsi="Times New Roman" w:cs="Times New Roman"/>
              </w:rPr>
              <w:t>S-Learner</w:t>
            </w:r>
          </w:p>
        </w:tc>
        <w:tc>
          <w:tcPr>
            <w:tcW w:w="3360" w:type="dxa"/>
          </w:tcPr>
          <w:p w14:paraId="31172477" w14:textId="77777777" w:rsidR="00D90ACF" w:rsidRPr="002859E2" w:rsidRDefault="00000000">
            <w:pPr>
              <w:rPr>
                <w:rFonts w:ascii="Times New Roman" w:hAnsi="Times New Roman" w:cs="Times New Roman"/>
              </w:rPr>
            </w:pPr>
            <w:r w:rsidRPr="002859E2">
              <w:rPr>
                <w:rFonts w:ascii="Times New Roman" w:hAnsi="Times New Roman" w:cs="Times New Roman"/>
              </w:rPr>
              <w:t>1.013</w:t>
            </w:r>
          </w:p>
        </w:tc>
        <w:tc>
          <w:tcPr>
            <w:tcW w:w="3360" w:type="dxa"/>
          </w:tcPr>
          <w:p w14:paraId="5FDEAFD9" w14:textId="77777777" w:rsidR="00D90ACF" w:rsidRPr="002859E2" w:rsidRDefault="00000000">
            <w:pPr>
              <w:rPr>
                <w:rFonts w:ascii="Times New Roman" w:hAnsi="Times New Roman" w:cs="Times New Roman"/>
              </w:rPr>
            </w:pPr>
            <w:r w:rsidRPr="002859E2">
              <w:rPr>
                <w:rFonts w:ascii="Times New Roman" w:hAnsi="Times New Roman" w:cs="Times New Roman"/>
              </w:rPr>
              <w:t>0.381</w:t>
            </w:r>
          </w:p>
        </w:tc>
      </w:tr>
    </w:tbl>
    <w:p w14:paraId="75F17A27" w14:textId="77777777" w:rsidR="002859E2" w:rsidRDefault="002859E2">
      <w:pPr>
        <w:spacing w:after="80" w:line="252" w:lineRule="auto"/>
        <w:rPr>
          <w:rFonts w:ascii="Times New Roman" w:hAnsi="Times New Roman" w:cs="Times New Roman"/>
        </w:rPr>
      </w:pPr>
    </w:p>
    <w:p w14:paraId="78A0E703" w14:textId="137E78EB" w:rsidR="00D90ACF" w:rsidRDefault="00000000">
      <w:pPr>
        <w:spacing w:after="80" w:line="252" w:lineRule="auto"/>
        <w:rPr>
          <w:rFonts w:ascii="Times New Roman" w:hAnsi="Times New Roman" w:cs="Times New Roman"/>
          <w:sz w:val="24"/>
          <w:szCs w:val="24"/>
        </w:rPr>
      </w:pPr>
      <w:r w:rsidRPr="002859E2">
        <w:rPr>
          <w:rFonts w:ascii="Times New Roman" w:hAnsi="Times New Roman" w:cs="Times New Roman"/>
          <w:sz w:val="24"/>
          <w:szCs w:val="24"/>
        </w:rPr>
        <w:t xml:space="preserve">Both models produced positive </w:t>
      </w:r>
      <w:proofErr w:type="spellStart"/>
      <w:r w:rsidRPr="002859E2">
        <w:rPr>
          <w:rFonts w:ascii="Times New Roman" w:hAnsi="Times New Roman" w:cs="Times New Roman"/>
          <w:sz w:val="24"/>
          <w:szCs w:val="24"/>
        </w:rPr>
        <w:t>Qini</w:t>
      </w:r>
      <w:proofErr w:type="spellEnd"/>
      <w:r w:rsidRPr="002859E2">
        <w:rPr>
          <w:rFonts w:ascii="Times New Roman" w:hAnsi="Times New Roman" w:cs="Times New Roman"/>
          <w:sz w:val="24"/>
          <w:szCs w:val="24"/>
        </w:rPr>
        <w:t xml:space="preserve"> values on the final holdout set, indicating better targeting rankings than random targeting. After inverse propensity weighting (IPW), the Qini values remained positive, suggesting that the targeting signal persisted after adjusting for observed differences in treatment </w:t>
      </w:r>
      <w:r w:rsidRPr="002859E2">
        <w:rPr>
          <w:rFonts w:ascii="Times New Roman" w:hAnsi="Times New Roman" w:cs="Times New Roman"/>
          <w:sz w:val="24"/>
          <w:szCs w:val="24"/>
        </w:rPr>
        <w:lastRenderedPageBreak/>
        <w:t>probability. Bootstrap confidence intervals, uncapped-outcome sensitivity testing, negative-uplift analysis, and a placebo treatment-label test were also used as additional robustness checks.</w:t>
      </w:r>
    </w:p>
    <w:p w14:paraId="4A60C58C" w14:textId="77777777" w:rsidR="002859E2" w:rsidRPr="002859E2" w:rsidRDefault="002859E2">
      <w:pPr>
        <w:spacing w:after="80" w:line="252" w:lineRule="auto"/>
        <w:rPr>
          <w:rFonts w:ascii="Times New Roman" w:hAnsi="Times New Roman" w:cs="Times New Roman"/>
          <w:sz w:val="24"/>
          <w:szCs w:val="24"/>
        </w:rPr>
      </w:pPr>
    </w:p>
    <w:p w14:paraId="4FCB4F02" w14:textId="77777777" w:rsidR="00D90ACF" w:rsidRPr="002859E2" w:rsidRDefault="00000000">
      <w:pPr>
        <w:spacing w:before="100" w:after="60"/>
        <w:rPr>
          <w:rFonts w:ascii="Times New Roman" w:hAnsi="Times New Roman" w:cs="Times New Roman"/>
          <w:sz w:val="28"/>
          <w:szCs w:val="28"/>
        </w:rPr>
      </w:pPr>
      <w:r w:rsidRPr="002859E2">
        <w:rPr>
          <w:rFonts w:ascii="Times New Roman" w:hAnsi="Times New Roman" w:cs="Times New Roman"/>
          <w:b/>
          <w:sz w:val="28"/>
          <w:szCs w:val="28"/>
        </w:rPr>
        <w:t>2.5 Expected Net Incremental Revenue and Business Impact</w:t>
      </w:r>
    </w:p>
    <w:p w14:paraId="45A2CF60" w14:textId="77777777" w:rsidR="00D90ACF" w:rsidRPr="002859E2" w:rsidRDefault="00000000">
      <w:pPr>
        <w:spacing w:after="80" w:line="252" w:lineRule="auto"/>
        <w:rPr>
          <w:rFonts w:ascii="Times New Roman" w:hAnsi="Times New Roman" w:cs="Times New Roman"/>
          <w:sz w:val="24"/>
          <w:szCs w:val="24"/>
        </w:rPr>
      </w:pPr>
      <w:r w:rsidRPr="002859E2">
        <w:rPr>
          <w:rFonts w:ascii="Times New Roman" w:hAnsi="Times New Roman" w:cs="Times New Roman"/>
          <w:sz w:val="24"/>
          <w:szCs w:val="24"/>
        </w:rPr>
        <w:t>The final stage converted uplift predictions into an actionable marketing strategy under a fixed $2,000 promotion budget. Net Incremental Revenue (NIR) was defined as incremental revenue generated by targeting minus the cost of the promotion. Three allocation strategies were examined: prefix targeting, greedy ranking by NIR per dollar, and exact budget optimization.</w:t>
      </w:r>
    </w:p>
    <w:p w14:paraId="11FA72F0" w14:textId="77777777" w:rsidR="00D90ACF" w:rsidRDefault="00000000">
      <w:pPr>
        <w:spacing w:after="80" w:line="252" w:lineRule="auto"/>
        <w:rPr>
          <w:rFonts w:ascii="Times New Roman" w:hAnsi="Times New Roman" w:cs="Times New Roman"/>
          <w:sz w:val="24"/>
          <w:szCs w:val="24"/>
        </w:rPr>
      </w:pPr>
      <w:r w:rsidRPr="002859E2">
        <w:rPr>
          <w:rFonts w:ascii="Times New Roman" w:hAnsi="Times New Roman" w:cs="Times New Roman"/>
          <w:sz w:val="24"/>
          <w:szCs w:val="24"/>
        </w:rPr>
        <w:t>The strongest final business strategy was the S-Learner combined with the exact optimizer. It targeted 971 customers within the approximately $2,000 budget. The strategy produced approximately $4,883 in predicted NIR, $7,174 in observed NIR, and $6,240 in IPW-adjusted NIR. The IPW-adjusted 95% confidence interval was approximately $3,906–$8,807, with the entire interval remaining above zero.</w:t>
      </w:r>
    </w:p>
    <w:p w14:paraId="63B42B65" w14:textId="77777777" w:rsidR="002859E2" w:rsidRPr="002859E2" w:rsidRDefault="002859E2">
      <w:pPr>
        <w:spacing w:after="80" w:line="252" w:lineRule="auto"/>
        <w:rPr>
          <w:rFonts w:ascii="Times New Roman" w:hAnsi="Times New Roman" w:cs="Times New Roman"/>
          <w:sz w:val="24"/>
          <w:szCs w:val="24"/>
        </w:rPr>
      </w:pPr>
    </w:p>
    <w:tbl>
      <w:tblPr>
        <w:tblStyle w:val="TableGrid"/>
        <w:tblW w:w="10412" w:type="dxa"/>
        <w:tblLook w:val="04A0" w:firstRow="1" w:lastRow="0" w:firstColumn="1" w:lastColumn="0" w:noHBand="0" w:noVBand="1"/>
      </w:tblPr>
      <w:tblGrid>
        <w:gridCol w:w="2603"/>
        <w:gridCol w:w="2603"/>
        <w:gridCol w:w="2603"/>
        <w:gridCol w:w="2603"/>
      </w:tblGrid>
      <w:tr w:rsidR="00D90ACF" w:rsidRPr="002859E2" w14:paraId="7ACF0265" w14:textId="77777777" w:rsidTr="002859E2">
        <w:trPr>
          <w:trHeight w:val="496"/>
        </w:trPr>
        <w:tc>
          <w:tcPr>
            <w:tcW w:w="2603" w:type="dxa"/>
          </w:tcPr>
          <w:p w14:paraId="50182B97" w14:textId="77777777" w:rsidR="00D90ACF" w:rsidRPr="002859E2" w:rsidRDefault="00000000">
            <w:pPr>
              <w:rPr>
                <w:rFonts w:ascii="Times New Roman" w:hAnsi="Times New Roman" w:cs="Times New Roman"/>
              </w:rPr>
            </w:pPr>
            <w:r w:rsidRPr="002859E2">
              <w:rPr>
                <w:rFonts w:ascii="Times New Roman" w:hAnsi="Times New Roman" w:cs="Times New Roman"/>
              </w:rPr>
              <w:t>Strategy</w:t>
            </w:r>
          </w:p>
        </w:tc>
        <w:tc>
          <w:tcPr>
            <w:tcW w:w="2603" w:type="dxa"/>
          </w:tcPr>
          <w:p w14:paraId="4A4D27DB" w14:textId="77777777" w:rsidR="00D90ACF" w:rsidRPr="002859E2" w:rsidRDefault="00000000">
            <w:pPr>
              <w:rPr>
                <w:rFonts w:ascii="Times New Roman" w:hAnsi="Times New Roman" w:cs="Times New Roman"/>
              </w:rPr>
            </w:pPr>
            <w:r w:rsidRPr="002859E2">
              <w:rPr>
                <w:rFonts w:ascii="Times New Roman" w:hAnsi="Times New Roman" w:cs="Times New Roman"/>
              </w:rPr>
              <w:t>Customers</w:t>
            </w:r>
          </w:p>
        </w:tc>
        <w:tc>
          <w:tcPr>
            <w:tcW w:w="2603" w:type="dxa"/>
          </w:tcPr>
          <w:p w14:paraId="0CFEDAE6" w14:textId="77777777" w:rsidR="00D90ACF" w:rsidRPr="002859E2" w:rsidRDefault="00000000">
            <w:pPr>
              <w:rPr>
                <w:rFonts w:ascii="Times New Roman" w:hAnsi="Times New Roman" w:cs="Times New Roman"/>
              </w:rPr>
            </w:pPr>
            <w:r w:rsidRPr="002859E2">
              <w:rPr>
                <w:rFonts w:ascii="Times New Roman" w:hAnsi="Times New Roman" w:cs="Times New Roman"/>
              </w:rPr>
              <w:t>Observed NIR</w:t>
            </w:r>
          </w:p>
        </w:tc>
        <w:tc>
          <w:tcPr>
            <w:tcW w:w="2603" w:type="dxa"/>
          </w:tcPr>
          <w:p w14:paraId="282050F8" w14:textId="77777777" w:rsidR="00D90ACF" w:rsidRPr="002859E2" w:rsidRDefault="00000000">
            <w:pPr>
              <w:rPr>
                <w:rFonts w:ascii="Times New Roman" w:hAnsi="Times New Roman" w:cs="Times New Roman"/>
              </w:rPr>
            </w:pPr>
            <w:r w:rsidRPr="002859E2">
              <w:rPr>
                <w:rFonts w:ascii="Times New Roman" w:hAnsi="Times New Roman" w:cs="Times New Roman"/>
              </w:rPr>
              <w:t>IPW NIR</w:t>
            </w:r>
          </w:p>
        </w:tc>
      </w:tr>
      <w:tr w:rsidR="00D90ACF" w:rsidRPr="002859E2" w14:paraId="1DF42F0D" w14:textId="77777777" w:rsidTr="002859E2">
        <w:trPr>
          <w:trHeight w:val="496"/>
        </w:trPr>
        <w:tc>
          <w:tcPr>
            <w:tcW w:w="2603" w:type="dxa"/>
          </w:tcPr>
          <w:p w14:paraId="729BE7C1" w14:textId="77777777" w:rsidR="00D90ACF" w:rsidRPr="002859E2" w:rsidRDefault="00000000">
            <w:pPr>
              <w:rPr>
                <w:rFonts w:ascii="Times New Roman" w:hAnsi="Times New Roman" w:cs="Times New Roman"/>
              </w:rPr>
            </w:pPr>
            <w:r w:rsidRPr="002859E2">
              <w:rPr>
                <w:rFonts w:ascii="Times New Roman" w:hAnsi="Times New Roman" w:cs="Times New Roman"/>
              </w:rPr>
              <w:t>S-Learner + Exact</w:t>
            </w:r>
          </w:p>
        </w:tc>
        <w:tc>
          <w:tcPr>
            <w:tcW w:w="2603" w:type="dxa"/>
          </w:tcPr>
          <w:p w14:paraId="6216DC1C" w14:textId="77777777" w:rsidR="00D90ACF" w:rsidRPr="002859E2" w:rsidRDefault="00000000">
            <w:pPr>
              <w:rPr>
                <w:rFonts w:ascii="Times New Roman" w:hAnsi="Times New Roman" w:cs="Times New Roman"/>
              </w:rPr>
            </w:pPr>
            <w:r w:rsidRPr="002859E2">
              <w:rPr>
                <w:rFonts w:ascii="Times New Roman" w:hAnsi="Times New Roman" w:cs="Times New Roman"/>
              </w:rPr>
              <w:t>971</w:t>
            </w:r>
          </w:p>
        </w:tc>
        <w:tc>
          <w:tcPr>
            <w:tcW w:w="2603" w:type="dxa"/>
          </w:tcPr>
          <w:p w14:paraId="220707E6" w14:textId="77777777" w:rsidR="00D90ACF" w:rsidRPr="002859E2" w:rsidRDefault="00000000">
            <w:pPr>
              <w:rPr>
                <w:rFonts w:ascii="Times New Roman" w:hAnsi="Times New Roman" w:cs="Times New Roman"/>
              </w:rPr>
            </w:pPr>
            <w:r w:rsidRPr="002859E2">
              <w:rPr>
                <w:rFonts w:ascii="Times New Roman" w:hAnsi="Times New Roman" w:cs="Times New Roman"/>
              </w:rPr>
              <w:t>$7,173.5</w:t>
            </w:r>
          </w:p>
        </w:tc>
        <w:tc>
          <w:tcPr>
            <w:tcW w:w="2603" w:type="dxa"/>
          </w:tcPr>
          <w:p w14:paraId="02C6C159" w14:textId="77777777" w:rsidR="00D90ACF" w:rsidRPr="002859E2" w:rsidRDefault="00000000">
            <w:pPr>
              <w:rPr>
                <w:rFonts w:ascii="Times New Roman" w:hAnsi="Times New Roman" w:cs="Times New Roman"/>
              </w:rPr>
            </w:pPr>
            <w:r w:rsidRPr="002859E2">
              <w:rPr>
                <w:rFonts w:ascii="Times New Roman" w:hAnsi="Times New Roman" w:cs="Times New Roman"/>
              </w:rPr>
              <w:t>$6,240.3</w:t>
            </w:r>
          </w:p>
        </w:tc>
      </w:tr>
    </w:tbl>
    <w:p w14:paraId="0D1BD99E" w14:textId="77777777" w:rsidR="002859E2" w:rsidRDefault="002859E2">
      <w:pPr>
        <w:spacing w:after="80" w:line="252" w:lineRule="auto"/>
        <w:rPr>
          <w:rFonts w:ascii="Times New Roman" w:hAnsi="Times New Roman" w:cs="Times New Roman"/>
          <w:sz w:val="24"/>
          <w:szCs w:val="24"/>
        </w:rPr>
      </w:pPr>
    </w:p>
    <w:p w14:paraId="3BBDD6A6" w14:textId="72C510A1" w:rsidR="00D90ACF" w:rsidRDefault="00000000">
      <w:pPr>
        <w:spacing w:after="80" w:line="252" w:lineRule="auto"/>
        <w:rPr>
          <w:rFonts w:ascii="Times New Roman" w:hAnsi="Times New Roman" w:cs="Times New Roman"/>
          <w:sz w:val="24"/>
          <w:szCs w:val="24"/>
        </w:rPr>
      </w:pPr>
      <w:r w:rsidRPr="002859E2">
        <w:rPr>
          <w:rFonts w:ascii="Times New Roman" w:hAnsi="Times New Roman" w:cs="Times New Roman"/>
          <w:sz w:val="24"/>
          <w:szCs w:val="24"/>
        </w:rPr>
        <w:t>The results demonstrate the value of targeting customers based on expected incremental response rather than sending promotions broadly. Customers who would have purchased anyway can create unnecessary discount costs, while customers with positive incremental uplift represent a more valuable audience. The uplift strategy therefore provides a practical framework for directing a limited promotion budget toward customers where the offer is most likely to generate additional spending.</w:t>
      </w:r>
    </w:p>
    <w:p w14:paraId="2232F42F" w14:textId="77777777" w:rsidR="002859E2" w:rsidRPr="002859E2" w:rsidRDefault="002859E2">
      <w:pPr>
        <w:spacing w:after="80" w:line="252" w:lineRule="auto"/>
        <w:rPr>
          <w:rFonts w:ascii="Times New Roman" w:hAnsi="Times New Roman" w:cs="Times New Roman"/>
          <w:sz w:val="24"/>
          <w:szCs w:val="24"/>
        </w:rPr>
      </w:pPr>
    </w:p>
    <w:p w14:paraId="7CE06F60" w14:textId="77777777" w:rsidR="00D90ACF" w:rsidRPr="002859E2" w:rsidRDefault="00000000">
      <w:pPr>
        <w:spacing w:before="100" w:after="60"/>
        <w:rPr>
          <w:rFonts w:ascii="Times New Roman" w:hAnsi="Times New Roman" w:cs="Times New Roman"/>
          <w:sz w:val="28"/>
          <w:szCs w:val="28"/>
        </w:rPr>
      </w:pPr>
      <w:r w:rsidRPr="002859E2">
        <w:rPr>
          <w:rFonts w:ascii="Times New Roman" w:hAnsi="Times New Roman" w:cs="Times New Roman"/>
          <w:b/>
          <w:sz w:val="28"/>
          <w:szCs w:val="28"/>
        </w:rPr>
        <w:t>2.6 Overall Conclusion</w:t>
      </w:r>
    </w:p>
    <w:p w14:paraId="491DA43F" w14:textId="77777777" w:rsidR="00D90ACF" w:rsidRPr="002859E2" w:rsidRDefault="00000000">
      <w:pPr>
        <w:spacing w:after="80" w:line="252" w:lineRule="auto"/>
        <w:rPr>
          <w:rFonts w:ascii="Times New Roman" w:hAnsi="Times New Roman" w:cs="Times New Roman"/>
          <w:sz w:val="24"/>
          <w:szCs w:val="24"/>
        </w:rPr>
      </w:pPr>
      <w:r w:rsidRPr="002859E2">
        <w:rPr>
          <w:rFonts w:ascii="Times New Roman" w:hAnsi="Times New Roman" w:cs="Times New Roman"/>
          <w:sz w:val="24"/>
          <w:szCs w:val="24"/>
        </w:rPr>
        <w:t>Overall, the project moves the promotion strategy from a 'Who will buy?' question to a more valuable 'Who will buy because of the offer?' question. The analysis carefully handled accidental completions, prevented temporal leakage, accounted for observed treatment-selection differences, and incorporated a strict budget constraint.</w:t>
      </w:r>
    </w:p>
    <w:p w14:paraId="1132CDCC" w14:textId="77777777" w:rsidR="00D90ACF" w:rsidRPr="002859E2" w:rsidRDefault="00000000">
      <w:pPr>
        <w:spacing w:after="80" w:line="252" w:lineRule="auto"/>
        <w:rPr>
          <w:rFonts w:ascii="Times New Roman" w:hAnsi="Times New Roman" w:cs="Times New Roman"/>
          <w:sz w:val="24"/>
          <w:szCs w:val="24"/>
        </w:rPr>
      </w:pPr>
      <w:r w:rsidRPr="002859E2">
        <w:rPr>
          <w:rFonts w:ascii="Times New Roman" w:hAnsi="Times New Roman" w:cs="Times New Roman"/>
          <w:sz w:val="24"/>
          <w:szCs w:val="24"/>
        </w:rPr>
        <w:t>The T-Learner was the strongest model during forward-chaining validation, while the S-Learner combined with exact budget optimization delivered the strongest final business outcome. Under the $2,000 budget, the final strategy generated approximately $7,174 in observed Net Incremental Revenue and $6,240 in IPW-adjusted NIR. These results show the potential of combining behavioral time-series features with uplift modeling to make promotion targeting more efficient and financially focused.</w:t>
      </w:r>
    </w:p>
    <w:p w14:paraId="650DB478" w14:textId="77777777" w:rsidR="00D90ACF" w:rsidRPr="002859E2" w:rsidRDefault="00000000">
      <w:pPr>
        <w:rPr>
          <w:rFonts w:ascii="Times New Roman" w:hAnsi="Times New Roman" w:cs="Times New Roman"/>
          <w:sz w:val="24"/>
          <w:szCs w:val="24"/>
        </w:rPr>
      </w:pPr>
      <w:r w:rsidRPr="002859E2">
        <w:rPr>
          <w:rFonts w:ascii="Times New Roman" w:hAnsi="Times New Roman" w:cs="Times New Roman"/>
          <w:b/>
          <w:sz w:val="24"/>
          <w:szCs w:val="24"/>
        </w:rPr>
        <w:t xml:space="preserve">Note: </w:t>
      </w:r>
      <w:r w:rsidRPr="002859E2">
        <w:rPr>
          <w:rFonts w:ascii="Times New Roman" w:hAnsi="Times New Roman" w:cs="Times New Roman"/>
          <w:sz w:val="24"/>
          <w:szCs w:val="24"/>
        </w:rPr>
        <w:t>The assignment requires a feature-importance summary. The supplied assignment specification defines the required time-series features but does not provide numerical feature-importance values. Accordingly, this summary describes their behavioral and predictive role without inventing an importance ranking.</w:t>
      </w:r>
    </w:p>
    <w:sectPr w:rsidR="00D90ACF" w:rsidRPr="002859E2"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55983744">
    <w:abstractNumId w:val="8"/>
  </w:num>
  <w:num w:numId="2" w16cid:durableId="587231270">
    <w:abstractNumId w:val="6"/>
  </w:num>
  <w:num w:numId="3" w16cid:durableId="2003775685">
    <w:abstractNumId w:val="5"/>
  </w:num>
  <w:num w:numId="4" w16cid:durableId="1691756159">
    <w:abstractNumId w:val="4"/>
  </w:num>
  <w:num w:numId="5" w16cid:durableId="1632899990">
    <w:abstractNumId w:val="7"/>
  </w:num>
  <w:num w:numId="6" w16cid:durableId="2078360975">
    <w:abstractNumId w:val="3"/>
  </w:num>
  <w:num w:numId="7" w16cid:durableId="1245719432">
    <w:abstractNumId w:val="2"/>
  </w:num>
  <w:num w:numId="8" w16cid:durableId="1227180626">
    <w:abstractNumId w:val="1"/>
  </w:num>
  <w:num w:numId="9" w16cid:durableId="17686944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859E2"/>
    <w:rsid w:val="0029639D"/>
    <w:rsid w:val="00326F90"/>
    <w:rsid w:val="00AA1D8D"/>
    <w:rsid w:val="00AC6E5E"/>
    <w:rsid w:val="00B47730"/>
    <w:rsid w:val="00CB0664"/>
    <w:rsid w:val="00D90AC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901300B"/>
  <w14:defaultImageDpi w14:val="330"/>
  <w15:docId w15:val="{205CEABB-07A7-4D1D-99CB-B2E677536A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3</Pages>
  <Words>1353</Words>
  <Characters>7717</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9052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Sujal Bhavsar</cp:lastModifiedBy>
  <cp:revision>2</cp:revision>
  <dcterms:created xsi:type="dcterms:W3CDTF">2013-12-23T23:15:00Z</dcterms:created>
  <dcterms:modified xsi:type="dcterms:W3CDTF">2026-10-06T12:16:00Z</dcterms:modified>
  <cp:category/>
</cp:coreProperties>
</file>